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LNT (Alliant Energy) before writing the preview. Let me gather recent filings, transcripts, guidance, and news.Let me read the most recent earnings materials (2026Q1) and the prior-year Q2 for comparison.Let me pull the year-ago Q2 (2025Q2) results for the comparison base, and recent stock price data.I have enough to write a well-grounded preview. Let me compile a couple of quick calculations on the stock performance.Here is the earnings preview.</w:t>
      </w:r>
    </w:p>
    <w:p>
      <w:r>
        <w:pict>
          <v:rect style="width:0;height:1.5pt" o:hralign="center" o:hrstd="t" o:hr="t"/>
        </w:pict>
      </w:r>
    </w:p>
    <w:bookmarkStart w:id="18" w:name="X5a9f0299e3b552a7b501c5afda6d889dcd514f4"/>
    <w:p>
      <w:pPr>
        <w:pStyle w:val="Heading1"/>
      </w:pPr>
      <w:r>
        <w:t xml:space="preserve">Alliant Energy (LNT) — 2026 Q2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Thursday, July 30, 2026 (post-close) ·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2026 Q2 Earnings Call</w:t>
      </w:r>
      <w:r>
        <w:t xml:space="preserve"> </w:t>
      </w:r>
      <w:r>
        <w:rPr>
          <w:b/>
          <w:bCs/>
        </w:rPr>
        <w:t xml:space="preserve">Recent price (7/29/26):</w:t>
      </w:r>
      <w:r>
        <w:t xml:space="preserve"> </w:t>
      </w:r>
      <w:r>
        <w:t xml:space="preserve">~$71.96 ·</w:t>
      </w:r>
      <w:r>
        <w:t xml:space="preserve"> </w:t>
      </w:r>
      <w:r>
        <w:rPr>
          <w:b/>
          <w:bCs/>
        </w:rPr>
        <w:t xml:space="preserve">Prior-year Q2 ongoing EPS:</w:t>
      </w:r>
      <w:r>
        <w:t xml:space="preserve"> </w:t>
      </w:r>
      <w:r>
        <w:t xml:space="preserve">$0.68</w:t>
      </w:r>
    </w:p>
    <w:p>
      <w:r>
        <w:pict>
          <v:rect style="width:0;height:1.5pt" o:hralign="center" o:hrstd="t" o:hr="t"/>
        </w:pict>
      </w:r>
    </w:p>
    <w:bookmarkStart w:id="9" w:name="the-one-line-take"/>
    <w:p>
      <w:pPr>
        <w:pStyle w:val="Heading2"/>
      </w:pPr>
      <w:r>
        <w:t xml:space="preserve">The one-line take</w:t>
      </w:r>
    </w:p>
    <w:p>
      <w:pPr>
        <w:pStyle w:val="FirstParagraph"/>
      </w:pPr>
      <w:r>
        <w:t xml:space="preserve">This is likely to be a "check the box, count the megawatts" quarter. The actual Q2 EPS number matters less than (1) whether management reaffirms the</w:t>
      </w:r>
      <w:r>
        <w:t xml:space="preserve"> </w:t>
      </w:r>
      <m:oMath>
        <m:r>
          <m:t>3.36</m:t>
        </m:r>
        <m:r>
          <m:rPr>
            <m:sty m:val="p"/>
          </m:rPr>
          <m:t>–</m:t>
        </m:r>
      </m:oMath>
      <w:r>
        <w:rPr>
          <w:b/>
          <w:bCs/>
        </w:rPr>
        <w:t xml:space="preserve">3.46</w:t>
      </w:r>
      <w:r>
        <w:t xml:space="preserve"> </w:t>
      </w:r>
      <w:r>
        <w:t xml:space="preserve">2026 guide, and (2) any incremental signal on</w:t>
      </w:r>
      <w:r>
        <w:t xml:space="preserve"> </w:t>
      </w:r>
      <w:r>
        <w:rPr>
          <w:b/>
          <w:bCs/>
        </w:rPr>
        <w:t xml:space="preserve">new data-center ESAs and generation needs</w:t>
      </w:r>
      <w:r>
        <w:t xml:space="preserve"> </w:t>
      </w:r>
      <w:r>
        <w:t xml:space="preserve">ahead of the</w:t>
      </w:r>
      <w:r>
        <w:t xml:space="preserve"> </w:t>
      </w:r>
      <w:r>
        <w:rPr>
          <w:i/>
          <w:iCs/>
        </w:rPr>
        <w:t xml:space="preserve">real</w:t>
      </w:r>
      <w:r>
        <w:t xml:space="preserve"> </w:t>
      </w:r>
      <w:r>
        <w:t xml:space="preserve">catalyst — the Q3/EEI capital-plan and long-term EPS refresh. LNT has become a data-center growth story wearing a regulated-utility chassis, and the market is treating it that way.</w:t>
      </w:r>
    </w:p>
    <w:p>
      <w:r>
        <w:pict>
          <v:rect style="width:0;height:1.5pt" o:hralign="center" o:hrstd="t" o:hr="t"/>
        </w:pict>
      </w:r>
    </w:p>
    <w:bookmarkEnd w:id="9"/>
    <w:bookmarkStart w:id="10" w:name="X450a74a8af072aad73ec8b299a623d44d33a8d4"/>
    <w:p>
      <w:pPr>
        <w:pStyle w:val="Heading2"/>
      </w:pPr>
      <w:r>
        <w:t xml:space="preserve">1. What actually gets reported vs. what moves the stock</w:t>
      </w:r>
    </w:p>
    <w:p>
      <w:pPr>
        <w:pStyle w:val="FirstParagraph"/>
      </w:pPr>
      <w:r>
        <w:rPr>
          <w:b/>
          <w:bCs/>
        </w:rPr>
        <w:t xml:space="preserve">The reported number is a low-drama event.</w:t>
      </w:r>
      <w:r>
        <w:t xml:space="preserve"> </w:t>
      </w:r>
      <w:r>
        <w:t xml:space="preserve">Q2 is a shoulder season for a Midwest utility, and LNT's earnings are heavily back-half weighted. For context:</w:t>
      </w:r>
    </w:p>
    <w:p>
      <w:pPr>
        <w:pStyle w:val="Compact"/>
        <w:numPr>
          <w:ilvl w:val="0"/>
          <w:numId w:val="1001"/>
        </w:numPr>
      </w:pPr>
      <w:r>
        <w:t xml:space="preserve">Q1 2026 ongoing EPS was</w:t>
      </w:r>
      <w:r>
        <w:t xml:space="preserve"> </w:t>
      </w:r>
      <w:r>
        <w:rPr>
          <w:b/>
          <w:bCs/>
        </w:rPr>
        <w:t xml:space="preserve">$0.82</w:t>
      </w:r>
      <w:r>
        <w:t xml:space="preserve"> </w:t>
      </w:r>
      <w:r>
        <w:t xml:space="preserve">(GAAP</w:t>
      </w:r>
      <w:r>
        <w:t xml:space="preserve"> </w:t>
      </w:r>
      <m:oMath>
        <m:r>
          <m:t>0.87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c</m:t>
        </m:r>
        <m:r>
          <m:t>h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f</m:t>
        </m:r>
        <m:r>
          <m:t>l</m:t>
        </m:r>
        <m:r>
          <m:t>a</m:t>
        </m:r>
        <m:r>
          <m:t>g</m:t>
        </m:r>
        <m:r>
          <m:t>g</m:t>
        </m:r>
        <m:r>
          <m:t>e</m:t>
        </m:r>
        <m:r>
          <m:t>d</m:t>
        </m:r>
        <m:r>
          <m:t>a</m:t>
        </m:r>
        <m:r>
          <m:t>s</m:t>
        </m:r>
        <m:r>
          <m:t> </m:t>
        </m:r>
        <m:r>
          <m:t>25</m:t>
        </m:r>
      </m:oMath>
      <w:r>
        <w:t xml:space="preserve">0.04/share.</w:t>
      </w:r>
    </w:p>
    <w:p>
      <w:pPr>
        <w:pStyle w:val="Compact"/>
        <w:numPr>
          <w:ilvl w:val="0"/>
          <w:numId w:val="1001"/>
        </w:numPr>
      </w:pPr>
      <w:r>
        <w:t xml:space="preserve">The year-ago Q2 2025 came in at</w:t>
      </w:r>
      <w:r>
        <w:t xml:space="preserve"> </w:t>
      </w:r>
      <w:r>
        <w:rPr>
          <w:b/>
          <w:bCs/>
        </w:rPr>
        <w:t xml:space="preserve">$0.68 ongoing</w:t>
      </w:r>
      <w:r>
        <w:t xml:space="preserve"> </w:t>
      </w:r>
      <w:r>
        <w:t xml:space="preserve">(up from $0.57 in Q2 2024), driven by new IPL/WPL rates and favorable temperatures.</w:t>
      </w:r>
    </w:p>
    <w:p>
      <w:pPr>
        <w:pStyle w:val="FirstParagraph"/>
      </w:pPr>
      <w:r>
        <w:rPr>
          <w:b/>
          <w:bCs/>
        </w:rPr>
        <w:t xml:space="preserve">What to watch instead: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Guidance reaffirmation</w:t>
      </w:r>
      <w:r>
        <w:t xml:space="preserve"> </w:t>
      </w:r>
      <w:r>
        <w:t xml:space="preserve">of the 2026 range of</w:t>
      </w:r>
      <w:r>
        <w:t xml:space="preserve"> </w:t>
      </w:r>
      <m:oMath>
        <m:r>
          <m:t>3.36</m:t>
        </m:r>
        <m:r>
          <m:rPr>
            <m:sty m:val="p"/>
          </m:rPr>
          <m:t>–</m:t>
        </m:r>
      </m:oMath>
      <w:r>
        <w:rPr>
          <w:b/>
          <w:bCs/>
        </w:rPr>
        <w:t xml:space="preserve">3.46</w:t>
      </w:r>
      <w:r>
        <w:t xml:space="preserve">. Anything other than a clean reaffirm would be a surprise.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New ESA announcements.</w:t>
      </w:r>
      <w:r>
        <w:t xml:space="preserve"> </w:t>
      </w:r>
      <w:r>
        <w:t xml:space="preserve">Management has committed to disclosing signed electric service agreements each quarter. In Q1 they signed a ~370 MW Iowa deal, bringing total contracted data-center demand to ~</w:t>
      </w:r>
      <w:r>
        <w:rPr>
          <w:b/>
          <w:bCs/>
        </w:rPr>
        <w:t xml:space="preserve">3.4 GW</w:t>
      </w:r>
      <w:r>
        <w:t xml:space="preserve"> </w:t>
      </w:r>
      <w:r>
        <w:t xml:space="preserve">across five executed agreements. The question for Q2: did another deal land, and did any of the "2–4 GW of future large-load opportunities" mature?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Any teaser on the Q3 resource-plan refresh</w:t>
      </w:r>
      <w:r>
        <w:t xml:space="preserve"> </w:t>
      </w:r>
      <w:r>
        <w:t xml:space="preserve">(see Section 4).</w:t>
      </w:r>
    </w:p>
    <w:p>
      <w:r>
        <w:pict>
          <v:rect style="width:0;height:1.5pt" o:hralign="center" o:hrstd="t" o:hr="t"/>
        </w:pict>
      </w:r>
    </w:p>
    <w:bookmarkEnd w:id="10"/>
    <w:bookmarkStart w:id="11" w:name="Xd17ec48af40c394cc970607b0911739bced466e"/>
    <w:p>
      <w:pPr>
        <w:pStyle w:val="Heading2"/>
      </w:pPr>
      <w:r>
        <w:t xml:space="preserve">2. The growth engine: data centers</w:t>
      </w:r>
    </w:p>
    <w:p>
      <w:pPr>
        <w:pStyle w:val="FirstParagraph"/>
      </w:pPr>
      <w:r>
        <w:t xml:space="preserve">This is the whole story right now. Key facts entering the print: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5 executed data-center ESAs ≈ 3.4 GW</w:t>
      </w:r>
      <w:r>
        <w:t xml:space="preserve"> </w:t>
      </w:r>
      <w:r>
        <w:t xml:space="preserve">contracted, with 3 projects under construction. Management frames this as</w:t>
      </w:r>
      <w:r>
        <w:t xml:space="preserve"> </w:t>
      </w:r>
      <w:r>
        <w:rPr>
          <w:b/>
          <w:bCs/>
        </w:rPr>
        <w:t xml:space="preserve">&gt;60% growth over current peak demand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Anchor project is</w:t>
      </w:r>
      <w:r>
        <w:t xml:space="preserve"> </w:t>
      </w:r>
      <w:r>
        <w:rPr>
          <w:b/>
          <w:bCs/>
        </w:rPr>
        <w:t xml:space="preserve">QTS in Cedar Rapids</w:t>
      </w:r>
      <w:r>
        <w:t xml:space="preserve"> </w:t>
      </w:r>
      <w:r>
        <w:t xml:space="preserve">— a ~$10B development billed as the largest capital investment in Iowa history — plus a second QTS project in the Madison (WPL) area and a</w:t>
      </w:r>
      <w:r>
        <w:t xml:space="preserve"> </w:t>
      </w:r>
      <w:r>
        <w:rPr>
          <w:b/>
          <w:bCs/>
        </w:rPr>
        <w:t xml:space="preserve">Meta</w:t>
      </w:r>
      <w:r>
        <w:t xml:space="preserve"> </w:t>
      </w:r>
      <w:r>
        <w:t xml:space="preserve">data center in Beaver Dam, WI.</w:t>
      </w:r>
    </w:p>
    <w:p>
      <w:pPr>
        <w:pStyle w:val="Compact"/>
        <w:numPr>
          <w:ilvl w:val="0"/>
          <w:numId w:val="1003"/>
        </w:numPr>
      </w:pPr>
      <w:r>
        <w:t xml:space="preserve">A separate</w:t>
      </w:r>
      <w:r>
        <w:t xml:space="preserve"> </w:t>
      </w:r>
      <w:r>
        <w:rPr>
          <w:b/>
          <w:bCs/>
        </w:rPr>
        <w:t xml:space="preserve">~2–4 GW pipeline</w:t>
      </w:r>
      <w:r>
        <w:t xml:space="preserve"> </w:t>
      </w:r>
      <w:r>
        <w:t xml:space="preserve">of "mature" opportunities (management's stated bar: ~85% close probability, land control, active negotiations, transmission studies done/underway) that is</w:t>
      </w:r>
      <w:r>
        <w:t xml:space="preserve"> </w:t>
      </w:r>
      <w:r>
        <w:rPr>
          <w:i/>
          <w:iCs/>
        </w:rPr>
        <w:t xml:space="preserve">not yet in the capital plan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The "Alliant Advantage" thesis:</w:t>
      </w:r>
      <w:r>
        <w:t xml:space="preserve"> </w:t>
      </w:r>
      <w:r>
        <w:t xml:space="preserve">recent ESAs are</w:t>
      </w:r>
      <w:r>
        <w:t xml:space="preserve"> </w:t>
      </w:r>
      <w:r>
        <w:rPr>
          <w:b/>
          <w:bCs/>
        </w:rPr>
        <w:t xml:space="preserve">capacity-only</w:t>
      </w:r>
      <w:r>
        <w:t xml:space="preserve">, so the required build is primarily</w:t>
      </w:r>
      <w:r>
        <w:t xml:space="preserve"> </w:t>
      </w:r>
      <w:r>
        <w:rPr>
          <w:b/>
          <w:bCs/>
        </w:rPr>
        <w:t xml:space="preserve">batteries + simple-cycle gas peakers</w:t>
      </w:r>
      <w:r>
        <w:t xml:space="preserve"> </w:t>
      </w:r>
      <w:r>
        <w:t xml:space="preserve">(fast to market, deferrable investment in the steam/energy side), leveraging Iowa's wind-rich grid. Management stresses this tightly aligns capex with contracted revenue and, critically, that</w:t>
      </w:r>
      <w:r>
        <w:t xml:space="preserve"> </w:t>
      </w:r>
      <w:r>
        <w:rPr>
          <w:b/>
          <w:bCs/>
        </w:rPr>
        <w:t xml:space="preserve">large-load customers fund their own infrastructure</w:t>
      </w:r>
      <w:r>
        <w:t xml:space="preserve"> </w:t>
      </w:r>
      <w:r>
        <w:t xml:space="preserve">— the affordability/"win-win-win" message designed to preempt the anti-data-center backlash seen in other jurisdictions.</w:t>
      </w:r>
    </w:p>
    <w:p>
      <w:pPr>
        <w:pStyle w:val="BodyText"/>
      </w:pPr>
      <w:r>
        <w:rPr>
          <w:b/>
          <w:bCs/>
        </w:rPr>
        <w:t xml:space="preserve">Watch item — Wisconsin risk:</w:t>
      </w:r>
      <w:r>
        <w:t xml:space="preserve"> </w:t>
      </w:r>
      <w:r>
        <w:t xml:space="preserve">on the Q1 call management acknowledged local "rhetoric" and moratorium noise (spillover from PJM) and is awaiting a Wisconsin PSC decision on the Beaver Dam/Meta individual customer rate. Any update on Wisconsin permitting sentiment or that docket would be relevant.</w:t>
      </w:r>
    </w:p>
    <w:p>
      <w:r>
        <w:pict>
          <v:rect style="width:0;height:1.5pt" o:hralign="center" o:hrstd="t" o:hr="t"/>
        </w:pict>
      </w:r>
    </w:p>
    <w:bookmarkEnd w:id="11"/>
    <w:bookmarkStart w:id="12" w:name="Xc06b3d1d16e9664adcfbc5f08002a8145c80d01"/>
    <w:p>
      <w:pPr>
        <w:pStyle w:val="Heading2"/>
      </w:pPr>
      <w:r>
        <w:t xml:space="preserve">3. Generation &amp; regulatory build-out</w:t>
      </w:r>
    </w:p>
    <w:p>
      <w:pPr>
        <w:pStyle w:val="FirstParagraph"/>
      </w:pPr>
      <w:r>
        <w:t xml:space="preserve">Entering Q2, the active pipeline includes:</w:t>
      </w:r>
    </w:p>
    <w:p>
      <w:pPr>
        <w:pStyle w:val="Compact"/>
        <w:numPr>
          <w:ilvl w:val="0"/>
          <w:numId w:val="1004"/>
        </w:numPr>
      </w:pPr>
      <w:r>
        <w:t xml:space="preserve">A newly filed</w:t>
      </w:r>
      <w:r>
        <w:t xml:space="preserve"> </w:t>
      </w:r>
      <w:r>
        <w:rPr>
          <w:b/>
          <w:bCs/>
        </w:rPr>
        <w:t xml:space="preserve">720 MW natural gas combustion turbine</w:t>
      </w:r>
      <w:r>
        <w:t xml:space="preserve"> </w:t>
      </w:r>
      <w:r>
        <w:t xml:space="preserve">docket in Iowa.</w:t>
      </w:r>
    </w:p>
    <w:p>
      <w:pPr>
        <w:pStyle w:val="Compact"/>
        <w:numPr>
          <w:ilvl w:val="0"/>
          <w:numId w:val="1004"/>
        </w:numPr>
      </w:pPr>
      <w:r>
        <w:t xml:space="preserve">A separately contracted</w:t>
      </w:r>
      <w:r>
        <w:t xml:space="preserve"> </w:t>
      </w:r>
      <w:r>
        <w:rPr>
          <w:b/>
          <w:bCs/>
        </w:rPr>
        <w:t xml:space="preserve">up-to-1.1 GW CT</w:t>
      </w:r>
      <w:r>
        <w:t xml:space="preserve"> </w:t>
      </w:r>
      <w:r>
        <w:t xml:space="preserve">tied to the 370 MW ESA, targeted for a</w:t>
      </w:r>
      <w:r>
        <w:t xml:space="preserve"> </w:t>
      </w:r>
      <w:r>
        <w:rPr>
          <w:b/>
          <w:bCs/>
        </w:rPr>
        <w:t xml:space="preserve">2031</w:t>
      </w:r>
      <w:r>
        <w:t xml:space="preserve"> </w:t>
      </w:r>
      <w:r>
        <w:t xml:space="preserve">in-service date.</w:t>
      </w:r>
    </w:p>
    <w:p>
      <w:pPr>
        <w:pStyle w:val="Compact"/>
        <w:numPr>
          <w:ilvl w:val="0"/>
          <w:numId w:val="1004"/>
        </w:numPr>
      </w:pPr>
      <w:r>
        <w:t xml:space="preserve">Approved</w:t>
      </w:r>
      <w:r>
        <w:t xml:space="preserve"> </w:t>
      </w:r>
      <w:r>
        <w:rPr>
          <w:b/>
          <w:bCs/>
        </w:rPr>
        <w:t xml:space="preserve">~1 GW of new Iowa wind</w:t>
      </w:r>
      <w:r>
        <w:t xml:space="preserve"> </w:t>
      </w:r>
      <w:r>
        <w:t xml:space="preserve">(advanced ratemaking, blended ROE ~9.8%) and Wisconsin's</w:t>
      </w:r>
      <w:r>
        <w:t xml:space="preserve"> </w:t>
      </w:r>
      <w:r>
        <w:rPr>
          <w:b/>
          <w:bCs/>
        </w:rPr>
        <w:t xml:space="preserve">153 MW Bent Tree North</w:t>
      </w:r>
      <w:r>
        <w:t xml:space="preserve"> </w:t>
      </w:r>
      <w:r>
        <w:t xml:space="preserve">wind project.</w:t>
      </w:r>
    </w:p>
    <w:p>
      <w:pPr>
        <w:pStyle w:val="Compact"/>
        <w:numPr>
          <w:ilvl w:val="0"/>
          <w:numId w:val="1004"/>
        </w:numPr>
      </w:pPr>
      <w:r>
        <w:t xml:space="preserve">Five active Wisconsin dockets (LNG storage, wind, Riverside capacity uprate, Meta rate).</w:t>
      </w:r>
    </w:p>
    <w:p>
      <w:pPr>
        <w:pStyle w:val="FirstParagraph"/>
      </w:pPr>
      <w:r>
        <w:rPr>
          <w:b/>
          <w:bCs/>
        </w:rPr>
        <w:t xml:space="preserve">Regulatory backdrop is a feature, not a bug:</w:t>
      </w:r>
      <w:r>
        <w:t xml:space="preserve"> </w:t>
      </w:r>
      <w:r>
        <w:t xml:space="preserve">LNT has</w:t>
      </w:r>
      <w:r>
        <w:t xml:space="preserve"> </w:t>
      </w:r>
      <w:r>
        <w:rPr>
          <w:b/>
          <w:bCs/>
        </w:rPr>
        <w:t xml:space="preserve">no active base-rate reviews planned in 2026</w:t>
      </w:r>
      <w:r>
        <w:t xml:space="preserve">, and Iowa's base-rate moratorium keeps retail electric base rates flat</w:t>
      </w:r>
      <w:r>
        <w:t xml:space="preserve"> </w:t>
      </w:r>
      <w:r>
        <w:rPr>
          <w:b/>
          <w:bCs/>
        </w:rPr>
        <w:t xml:space="preserve">through at least the end of the decade</w:t>
      </w:r>
      <w:r>
        <w:t xml:space="preserve"> </w:t>
      </w:r>
      <w:r>
        <w:t xml:space="preserve">while the utility still earns its authorized return via tax credits and margins on new generation. This is the low-risk regulatory construct that lets LNT grow into data-center load without contentious rate cases.</w:t>
      </w:r>
    </w:p>
    <w:p>
      <w:r>
        <w:pict>
          <v:rect style="width:0;height:1.5pt" o:hralign="center" o:hrstd="t" o:hr="t"/>
        </w:pict>
      </w:r>
    </w:p>
    <w:bookmarkEnd w:id="12"/>
    <w:bookmarkStart w:id="13" w:name="Xf1a23751f0d0a0f8aea59d25e62850a43884c36"/>
    <w:p>
      <w:pPr>
        <w:pStyle w:val="Heading2"/>
      </w:pPr>
      <w:r>
        <w:t xml:space="preserve">4. The catalyst is Q3, not Q2</w:t>
      </w:r>
    </w:p>
    <w:p>
      <w:pPr>
        <w:pStyle w:val="FirstParagraph"/>
      </w:pPr>
      <w:r>
        <w:t xml:space="preserve">Management has explicitly pointed to the</w:t>
      </w:r>
      <w:r>
        <w:t xml:space="preserve"> </w:t>
      </w:r>
      <w:r>
        <w:rPr>
          <w:b/>
          <w:bCs/>
        </w:rPr>
        <w:t xml:space="preserve">Q3 call / EEI (early November)</w:t>
      </w:r>
      <w:r>
        <w:t xml:space="preserve"> </w:t>
      </w:r>
      <w:r>
        <w:t xml:space="preserve">as the moment for:</w:t>
      </w:r>
    </w:p>
    <w:p>
      <w:pPr>
        <w:pStyle w:val="Compact"/>
        <w:numPr>
          <w:ilvl w:val="0"/>
          <w:numId w:val="1005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refreshed Iowa resource plan</w:t>
      </w:r>
      <w:r>
        <w:t xml:space="preserve"> </w:t>
      </w:r>
      <w:r>
        <w:t xml:space="preserve">incorporating any load beyond the ~3 GW already in-plan, plus updated</w:t>
      </w:r>
      <w:r>
        <w:t xml:space="preserve"> </w:t>
      </w:r>
      <w:r>
        <w:rPr>
          <w:b/>
          <w:bCs/>
        </w:rPr>
        <w:t xml:space="preserve">MISO capacity-accreditation</w:t>
      </w:r>
      <w:r>
        <w:t xml:space="preserve"> </w:t>
      </w:r>
      <w:r>
        <w:t xml:space="preserve">assumptions.</w:t>
      </w:r>
    </w:p>
    <w:p>
      <w:pPr>
        <w:pStyle w:val="Compact"/>
        <w:numPr>
          <w:ilvl w:val="0"/>
          <w:numId w:val="1005"/>
        </w:numPr>
      </w:pPr>
      <w:r>
        <w:t xml:space="preserve">An</w:t>
      </w:r>
      <w:r>
        <w:t xml:space="preserve"> </w:t>
      </w:r>
      <w:r>
        <w:rPr>
          <w:b/>
          <w:bCs/>
        </w:rPr>
        <w:t xml:space="preserve">updated multi-year capex plan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An</w:t>
      </w:r>
      <w:r>
        <w:t xml:space="preserve"> </w:t>
      </w:r>
      <w:r>
        <w:rPr>
          <w:b/>
          <w:bCs/>
        </w:rPr>
        <w:t xml:space="preserve">updated EPS base and growth trajectory</w:t>
      </w:r>
      <w:r>
        <w:t xml:space="preserve">.</w:t>
      </w:r>
    </w:p>
    <w:p>
      <w:pPr>
        <w:pStyle w:val="FirstParagraph"/>
      </w:pPr>
      <w:r>
        <w:t xml:space="preserve">That framing matters for how you read Q2: expect management to</w:t>
      </w:r>
      <w:r>
        <w:t xml:space="preserve"> </w:t>
      </w:r>
      <w:r>
        <w:rPr>
          <w:b/>
          <w:bCs/>
        </w:rPr>
        <w:t xml:space="preserve">defer specifics</w:t>
      </w:r>
      <w:r>
        <w:t xml:space="preserve"> </w:t>
      </w:r>
      <w:r>
        <w:t xml:space="preserve">("stay tuned for EEI") on capex sizing, dollar-per-kW costs (confidentiality), and any tightening of the EPS range. On Q1, Shar Pourreza pushed on whether improving visibility could justify a more definable EPS range — that's the bull-case question hanging over the name.</w:t>
      </w:r>
    </w:p>
    <w:p>
      <w:pPr>
        <w:pStyle w:val="BodyText"/>
      </w:pPr>
      <w:r>
        <w:rPr>
          <w:b/>
          <w:bCs/>
        </w:rPr>
        <w:t xml:space="preserve">Growth math to keep in mind:</w:t>
      </w:r>
      <w:r>
        <w:t xml:space="preserve"> </w:t>
      </w:r>
      <w:r>
        <w:t xml:space="preserve">LNT reaffirmed a</w:t>
      </w:r>
      <w:r>
        <w:t xml:space="preserve"> </w:t>
      </w:r>
      <w:r>
        <w:rPr>
          <w:b/>
          <w:bCs/>
        </w:rPr>
        <w:t xml:space="preserve">7%+ CAGR for 2027–2029</w:t>
      </w:r>
      <w:r>
        <w:t xml:space="preserve">, off the</w:t>
      </w:r>
      <w:r>
        <w:t xml:space="preserve"> </w:t>
      </w:r>
      <w:r>
        <w:rPr>
          <w:b/>
          <w:bCs/>
        </w:rPr>
        <w:t xml:space="preserve">2025 actual</w:t>
      </w:r>
      <w:r>
        <w:t xml:space="preserve"> </w:t>
      </w:r>
      <w:r>
        <w:t xml:space="preserve">base — a step up from its long-standing 5–7% framing, and it sits near the top of the utility peer group.</w:t>
      </w:r>
    </w:p>
    <w:p>
      <w:r>
        <w:pict>
          <v:rect style="width:0;height:1.5pt" o:hralign="center" o:hrstd="t" o:hr="t"/>
        </w:pict>
      </w:r>
    </w:p>
    <w:bookmarkEnd w:id="13"/>
    <w:bookmarkStart w:id="14" w:name="Xf41e1f3135c78e711d4b907e9ff546cdd055717"/>
    <w:p>
      <w:pPr>
        <w:pStyle w:val="Heading2"/>
      </w:pPr>
      <w:r>
        <w:t xml:space="preserve">5. Balance sheet &amp; financing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~</w:t>
      </w:r>
      <m:oMath>
        <m:r>
          <m:t>2.4</m:t>
        </m:r>
        <m:r>
          <m:t>B</m:t>
        </m:r>
        <m:r>
          <m:t>o</m:t>
        </m:r>
        <m:r>
          <m:t>f</m:t>
        </m:r>
        <m:r>
          <m:t>c</m:t>
        </m:r>
        <m:r>
          <m:t>o</m:t>
        </m:r>
        <m:r>
          <m:t>m</m:t>
        </m:r>
        <m:r>
          <m:t>m</m:t>
        </m:r>
        <m:r>
          <m:t>o</m:t>
        </m:r>
        <m:r>
          <m:t>n</m:t>
        </m:r>
        <m:r>
          <m:t>e</m:t>
        </m:r>
        <m:r>
          <m:t>q</m:t>
        </m:r>
        <m:r>
          <m:t>u</m:t>
        </m:r>
        <m:r>
          <m:t>i</m:t>
        </m:r>
        <m:r>
          <m:t>t</m:t>
        </m:r>
        <m:r>
          <m:t>y</m:t>
        </m:r>
        <m:r>
          <m:t>n</m:t>
        </m:r>
        <m:r>
          <m:t>e</m:t>
        </m:r>
        <m:r>
          <m:t>e</m:t>
        </m:r>
        <m:r>
          <m:t>d</m:t>
        </m:r>
        <m:r>
          <m:t>s</m:t>
        </m:r>
        <m:r>
          <m:t>o</m:t>
        </m:r>
        <m:r>
          <m:t>v</m:t>
        </m:r>
        <m:r>
          <m:t>e</m:t>
        </m:r>
        <m:r>
          <m:t>r</m:t>
        </m:r>
        <m:r>
          <m:t>f</m:t>
        </m:r>
        <m:r>
          <m:t>o</m:t>
        </m:r>
        <m:r>
          <m:t>u</m:t>
        </m:r>
        <m:r>
          <m:t>r</m:t>
        </m:r>
        <m:r>
          <m:t>y</m:t>
        </m:r>
        <m:r>
          <m:t>e</m:t>
        </m:r>
        <m:r>
          <m:t>a</m:t>
        </m:r>
        <m:r>
          <m:t>r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t> 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1.3B already raised</w:t>
      </w:r>
      <w:r>
        <w:t xml:space="preserve"> </w:t>
      </w:r>
      <w:r>
        <w:t xml:space="preserve">via forward agreements (covers needs through 2027), leaving ~</w:t>
      </w:r>
      <m:oMath>
        <m:r>
          <m:t>1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2029</m:t>
        </m:r>
        <m:r>
          <m:rPr>
            <m:sty m:val="p"/>
          </m:rPr>
          <m:t>,</m:t>
        </m:r>
        <m:r>
          <m:t>b</m:t>
        </m:r>
        <m:r>
          <m:t>a</m:t>
        </m:r>
        <m:r>
          <m:t>c</m:t>
        </m:r>
        <m:r>
          <m:t>k</m:t>
        </m:r>
        <m:r>
          <m:t>e</m:t>
        </m:r>
        <m:r>
          <m:t>d</m:t>
        </m:r>
        <m:r>
          <m:t>b</m:t>
        </m:r>
        <m:r>
          <m:t>y</m:t>
        </m:r>
        <m:r>
          <m:t>a</m:t>
        </m:r>
        <m:r>
          <m:t>n</m:t>
        </m:r>
        <m:r>
          <m:t>e</m:t>
        </m:r>
        <m:r>
          <m:t>w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1B ATM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Incremental data-center capex is expected to be funded</w:t>
      </w:r>
      <w:r>
        <w:t xml:space="preserve"> </w:t>
      </w:r>
      <w:r>
        <w:rPr>
          <w:b/>
          <w:bCs/>
        </w:rPr>
        <w:t xml:space="preserve">~40–50% equity</w:t>
      </w:r>
      <w:r>
        <w:t xml:space="preserve"> </w:t>
      </w:r>
      <w:r>
        <w:t xml:space="preserve">— so bigger ESAs = more equity, a dilution consideration investors should track alongside the growth headlines.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Credit positive:</w:t>
      </w:r>
      <w:r>
        <w:t xml:space="preserve"> </w:t>
      </w:r>
      <w:r>
        <w:t xml:space="preserve">S&amp;P upgraded IPL to</w:t>
      </w:r>
      <w:r>
        <w:t xml:space="preserve"> </w:t>
      </w:r>
      <w:r>
        <w:rPr>
          <w:b/>
          <w:bCs/>
        </w:rPr>
        <w:t xml:space="preserve">A-</w:t>
      </w:r>
      <w:r>
        <w:t xml:space="preserve"> </w:t>
      </w:r>
      <w:r>
        <w:t xml:space="preserve">(from BBB+) in Q1, and IPL's receivables-sale program was expanded to $180M. Interest expense is rising (Q1: $142M vs. $119M a year ago) as the capital program scales — watch financing-cost drag.</w:t>
      </w:r>
    </w:p>
    <w:p>
      <w:pPr>
        <w:pStyle w:val="Compact"/>
        <w:numPr>
          <w:ilvl w:val="0"/>
          <w:numId w:val="1006"/>
        </w:numPr>
      </w:pPr>
      <w:r>
        <w:t xml:space="preserve">Dividend raised to</w:t>
      </w:r>
      <w:r>
        <w:t xml:space="preserve"> </w:t>
      </w:r>
      <w:r>
        <w:rPr>
          <w:b/>
          <w:bCs/>
        </w:rPr>
        <w:t xml:space="preserve">$0.535/quarter</w:t>
      </w:r>
      <w:r>
        <w:t xml:space="preserve"> </w:t>
      </w:r>
      <w:r>
        <w:t xml:space="preserve">(from $0.5075).</w:t>
      </w:r>
    </w:p>
    <w:p>
      <w:r>
        <w:pict>
          <v:rect style="width:0;height:1.5pt" o:hralign="center" o:hrstd="t" o:hr="t"/>
        </w:pict>
      </w:r>
    </w:p>
    <w:bookmarkEnd w:id="14"/>
    <w:bookmarkStart w:id="15" w:name="X29fa6875116724b8421786b1767d4f735646e43"/>
    <w:p>
      <w:pPr>
        <w:pStyle w:val="Heading2"/>
      </w:pPr>
      <w:r>
        <w:t xml:space="preserve">6. Modeling notes / swing factors for Q2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Weather:</w:t>
      </w:r>
      <w:r>
        <w:t xml:space="preserve"> </w:t>
      </w:r>
      <w:r>
        <w:t xml:space="preserve">Q2 is cooling-driven. Q2 2025 got a ~$0.02 tailwind from temperatures; normal weather is the guidance assumption. Summer temperature variance is the biggest short-term EPS swing factor.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Underlying sales:</w:t>
      </w:r>
      <w:r>
        <w:t xml:space="preserve"> </w:t>
      </w:r>
      <w:r>
        <w:t xml:space="preserve">ex-weather, retail electric sales have been running roughly</w:t>
      </w:r>
      <w:r>
        <w:t xml:space="preserve"> </w:t>
      </w:r>
      <w:r>
        <w:rPr>
          <w:b/>
          <w:bCs/>
        </w:rPr>
        <w:t xml:space="preserve">flat</w:t>
      </w:r>
      <w:r>
        <w:t xml:space="preserve"> </w:t>
      </w:r>
      <w:r>
        <w:t xml:space="preserve">— the growth is a future (contracted) story, not yet in the run-rate.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Tax rate:</w:t>
      </w:r>
      <w:r>
        <w:t xml:space="preserve"> </w:t>
      </w:r>
      <w:r>
        <w:t xml:space="preserve">guidance assumes a</w:t>
      </w:r>
      <w:r>
        <w:t xml:space="preserve"> </w:t>
      </w:r>
      <w:r>
        <w:rPr>
          <w:b/>
          <w:bCs/>
        </w:rPr>
        <w:t xml:space="preserve">~(29%) effective tax rate</w:t>
      </w:r>
      <w:r>
        <w:t xml:space="preserve"> </w:t>
      </w:r>
      <w:r>
        <w:t xml:space="preserve">(large negative rate from renewable tax-credit generation); watch for any deferred-tax remeasurement items (Q1 had a $0.05 non-GAAP add-back from state apportionment) that would be excluded from ongoing EPS.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O&amp;M:</w:t>
      </w:r>
      <w:r>
        <w:t xml:space="preserve"> </w:t>
      </w:r>
      <w:r>
        <w:t xml:space="preserve">higher planned-maintenance and new-resource O&amp;M has been a headwind offsetting rate-base growth.</w:t>
      </w:r>
    </w:p>
    <w:p>
      <w:r>
        <w:pict>
          <v:rect style="width:0;height:1.5pt" o:hralign="center" o:hrstd="t" o:hr="t"/>
        </w:pict>
      </w:r>
    </w:p>
    <w:bookmarkEnd w:id="15"/>
    <w:bookmarkStart w:id="16" w:name="X11169e14a262f141a9cb6f5afcf3ad02af20138"/>
    <w:p>
      <w:pPr>
        <w:pStyle w:val="Heading2"/>
      </w:pPr>
      <w:r>
        <w:t xml:space="preserve">7. Stock setup</w:t>
      </w:r>
    </w:p>
    <w:p>
      <w:pPr>
        <w:pStyle w:val="Compact"/>
        <w:numPr>
          <w:ilvl w:val="0"/>
          <w:numId w:val="1008"/>
        </w:numPr>
      </w:pPr>
      <w:r>
        <w:t xml:space="preserve">LNT is up</w:t>
      </w:r>
      <w:r>
        <w:t xml:space="preserve"> </w:t>
      </w:r>
      <w:r>
        <w:rPr>
          <w:b/>
          <w:bCs/>
        </w:rPr>
        <w:t xml:space="preserve">~+10% YTD</w:t>
      </w:r>
      <w:r>
        <w:t xml:space="preserve">, comfortably ahead of the utility sector (XLU ~</w:t>
      </w:r>
      <w:r>
        <w:rPr>
          <w:b/>
          <w:bCs/>
        </w:rPr>
        <w:t xml:space="preserve">+4%</w:t>
      </w:r>
      <w:r>
        <w:t xml:space="preserve">), reflecting the data-center premium the market has assigned.</w:t>
      </w:r>
    </w:p>
    <w:p>
      <w:pPr>
        <w:pStyle w:val="Compact"/>
        <w:numPr>
          <w:ilvl w:val="0"/>
          <w:numId w:val="1008"/>
        </w:numPr>
      </w:pPr>
      <w:r>
        <w:t xml:space="preserve">But shares have</w:t>
      </w:r>
      <w:r>
        <w:t xml:space="preserve"> </w:t>
      </w:r>
      <w:r>
        <w:rPr>
          <w:b/>
          <w:bCs/>
        </w:rPr>
        <w:t xml:space="preserve">pulled back ~8% from the early-July high (~$78)</w:t>
      </w:r>
      <w:r>
        <w:t xml:space="preserve">, including a</w:t>
      </w:r>
      <w:r>
        <w:t xml:space="preserve"> </w:t>
      </w:r>
      <w:r>
        <w:rPr>
          <w:b/>
          <w:bCs/>
        </w:rPr>
        <w:t xml:space="preserve">~2.5% drop on 7/29</w:t>
      </w:r>
      <w:r>
        <w:t xml:space="preserve"> </w:t>
      </w:r>
      <w:r>
        <w:t xml:space="preserve">into the print (utilities broadly soft that day).</w:t>
      </w:r>
    </w:p>
    <w:p>
      <w:pPr>
        <w:pStyle w:val="Compact"/>
        <w:numPr>
          <w:ilvl w:val="0"/>
          <w:numId w:val="1008"/>
        </w:numPr>
      </w:pPr>
      <w:r>
        <w:t xml:space="preserve">Net: expectations are elevated and the multiple has re-rated, so the bar on</w:t>
      </w:r>
      <w:r>
        <w:t xml:space="preserve"> </w:t>
      </w:r>
      <w:r>
        <w:rPr>
          <w:b/>
          <w:bCs/>
        </w:rPr>
        <w:t xml:space="preserve">data-center execution and the eventual capex/EPS raise</w:t>
      </w:r>
      <w:r>
        <w:t xml:space="preserve"> </w:t>
      </w:r>
      <w:r>
        <w:t xml:space="preserve">is high. A clean quarter with a new ESA and confident EEI framing supports the story; silence on new deals or any Wisconsin permitting wobble is the risk.</w:t>
      </w:r>
    </w:p>
    <w:p>
      <w:r>
        <w:pict>
          <v:rect style="width:0;height:1.5pt" o:hralign="center" o:hrstd="t" o:hr="t"/>
        </w:pict>
      </w:r>
    </w:p>
    <w:bookmarkEnd w:id="16"/>
    <w:bookmarkStart w:id="1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Don't overweight the Q2 EPS print — it's a seasonally small, on-plan quarter. The tape will trade on</w:t>
      </w:r>
      <w:r>
        <w:t xml:space="preserve"> </w:t>
      </w:r>
      <w:r>
        <w:rPr>
          <w:b/>
          <w:bCs/>
        </w:rPr>
        <w:t xml:space="preserve">(1) guidance reaffirmation, (2) new/expanded data-center ESAs and the 2–4 GW pipeline, and (3) any preview of the Q3/EEI capex and long-term EPS reset.</w:t>
      </w:r>
      <w:r>
        <w:t xml:space="preserve"> </w:t>
      </w:r>
      <w:r>
        <w:t xml:space="preserve">The structural setup — top-of-peer 7%+ growth, ~3.4 GW of contracted large load, a supportive Iowa no-rate-case construct, and a strengthening balance sheet — remains intact; the debate is simply how much of that is already in a stock that has outrun the sector.</w:t>
      </w:r>
    </w:p>
    <w:p>
      <w:pPr>
        <w:pStyle w:val="BodyText"/>
      </w:pPr>
      <w:r>
        <w:rPr>
          <w:i/>
          <w:iCs/>
        </w:rPr>
        <w:t xml:space="preserve">Sources: LNT 2026 Q1 earnings release and call, 2025 Q2 earnings call, and Finnhub price data. Note: I did not have a published Street consensus estimate for Q2 2026 in my source set — the figures above are company-reported actuals and guidance, not consensus.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2026-07-29T19:59:06Z</dcterms:created>
  <dcterms:modified xsi:type="dcterms:W3CDTF">2026-07-29T19:59:06Z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