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nt-earnings-predictions--2026-07-30"/>
    <w:p>
      <w:pPr>
        <w:pStyle w:val="Heading1"/>
      </w:pPr>
      <w:r>
        <w:t xml:space="preserve">LNT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Ongoing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~$0.63 vs. cons $0.66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~$1.00B vs. cons $1.00B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Electricity Delivered (GWh)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~7,930 GWh vs. cons 7,838 GWh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Ongoing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3.36</m:t>
              </m:r>
              <m:r>
                <m:rPr>
                  <m:sty m:val="p"/>
                </m:rPr>
                <m:t>−</m:t>
              </m:r>
            </m:oMath>
            <w:r>
              <w:t xml:space="preserve">3.46 (midpoint $3.41) vs. cons $3.40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Contracted Data Center Load (GW)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~3.7 GW vs. cons/prior 3.4 GW (as of Q2 2026 update, ahead of Q3 resource-plan refresh)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2027-2029 Ongoing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~7%+ vs. cons ~7% (2027-2029 CAGR, reiterated pending Q3/EEI refresh)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-0.4% (FADE)</w:t>
            </w:r>
          </w:p>
        </w:tc>
        <w:tc>
          <w:tcPr/>
          <w:p>
            <w:pPr>
              <w:pStyle w:val="Compact"/>
            </w:pPr>
            <w:r>
              <w:t xml:space="preserve">A likely modest EPS miss (negative Zacks ESP, storm/O&amp;M drag from the April WI ice storm and June severe weather) triggers a negative day-1 reaction, but reaffirmed</w:t>
            </w:r>
            <w:r>
              <w:t xml:space="preserve"> </w:t>
            </w:r>
            <m:oMath>
              <m:r>
                <m:t>3.36</m:t>
              </m:r>
              <m:r>
                <m:rPr>
                  <m:sty m:val="p"/>
                </m:rPr>
                <m:t>−</m:t>
              </m:r>
            </m:oMath>
            <w:r>
              <w:t xml:space="preserve">3.46 FY26 guidance and the unchanged 7%+ 2027-2029 CAGR keep the long-term data-center thesis intact; with the full resource-plan refresh and any bigger EPS algorithm reset deferred to Q3/EEI, investors are likely to look through the one-off storm costs and financing/depreciation drag, causing the initial selloff to partially fade over the next week rather than compound into sustained downward estimate revisions.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2026-07-30T00:11:39Z</dcterms:created>
  <dcterms:modified xsi:type="dcterms:W3CDTF">2026-07-30T00:11:39Z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