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nt-earnings-predictions--2026-07-30"/>
    <w:p>
      <w:pPr>
        <w:pStyle w:val="Heading1"/>
      </w:pPr>
      <w:r>
        <w:t xml:space="preserve">LNT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ongoing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~$0.62 vs. cons $0.66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~$930M vs. cons $919.7M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Contracted data-center demand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~3.4 GW vs. cons 3.4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Ongoing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~$3.41 midpoint vs. cons $3.43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~7.0%+ vs. cons 7.0% (2027-2029)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~$13.4B vs. cons $13.4B (2026-2029)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The initial reaction reflects a predicted ~</w:t>
            </w:r>
            <m:oMath>
              <m:r>
                <m:t>0.04</m:t>
              </m:r>
              <m:r>
                <m:t>E</m:t>
              </m:r>
              <m:r>
                <m:t>P</m:t>
              </m:r>
              <m:r>
                <m:t>S</m:t>
              </m:r>
              <m:r>
                <m:t>m</m:t>
              </m:r>
              <m:r>
                <m:t>i</m:t>
              </m:r>
              <m:r>
                <m:t>s</m:t>
              </m:r>
              <m:r>
                <m:t>s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t>o</m:t>
              </m:r>
              <m:r>
                <m:t>i</m:t>
              </m:r>
              <m:r>
                <m:t>n</m:t>
              </m:r>
              <m:r>
                <m:t>c</m:t>
              </m:r>
              <m:r>
                <m:t>r</m:t>
              </m:r>
              <m:r>
                <m:t>e</m:t>
              </m:r>
              <m:r>
                <m:t>a</m:t>
              </m:r>
              <m:r>
                <m:t>s</m:t>
              </m:r>
              <m:r>
                <m:t>e</m:t>
              </m:r>
              <m:r>
                <m:t>f</m:t>
              </m:r>
              <m:r>
                <m:t>r</m:t>
              </m:r>
              <m:r>
                <m:t>o</m:t>
              </m:r>
              <m:r>
                <m:t>m</m:t>
              </m:r>
              <m:r>
                <m:t> </m:t>
              </m:r>
              <m:r>
                <m:t>3.4</m:t>
              </m:r>
              <m:r>
                <m:t>G</m:t>
              </m:r>
              <m:r>
                <m:t>W</m:t>
              </m:r>
              <m:r>
                <m:t>o</m:t>
              </m:r>
              <m:r>
                <m:t>f</m:t>
              </m:r>
              <m:r>
                <m:t>c</m:t>
              </m:r>
              <m:r>
                <m:t>o</m:t>
              </m:r>
              <m:r>
                <m:t>n</m:t>
              </m:r>
              <m:r>
                <m:t>t</m:t>
              </m:r>
              <m:r>
                <m:t>r</m:t>
              </m:r>
              <m:r>
                <m:t>a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d</m:t>
              </m:r>
              <m:r>
                <m:t>e</m:t>
              </m:r>
              <m:r>
                <m:t>m</m:t>
              </m:r>
              <m:r>
                <m:t>a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 </m:t>
              </m:r>
            </m:oMath>
            <w:r>
              <w:t xml:space="preserve">0.02 below consensus. The decline should partially fade from a day-1 residual of ~-1.8% to a five-day residual of ~-1.0% because the Q2 weakness is largely explained by previously disclosed tax-benefit timing, while full-year guidance and the 2027-2029 growth framework remain intact; major out-period revisions likely wait for the Q3 resource-plan refresh.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2026-07-29T20:01:41Z</dcterms:created>
  <dcterms:modified xsi:type="dcterms:W3CDTF">2026-07-29T20:01:41Z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