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lnt-q2-2026-earnings-preview"/>
    <w:p>
      <w:pPr>
        <w:pStyle w:val="Heading1"/>
      </w:pPr>
      <w:r>
        <w:t xml:space="preserve">LNT Q2 2026 Earnings Preview</w:t>
      </w:r>
    </w:p>
    <w:p>
      <w:pPr>
        <w:pStyle w:val="FirstParagraph"/>
      </w:pPr>
      <w:r>
        <w:rPr>
          <w:b/>
          <w:bCs/>
        </w:rPr>
        <w:t xml:space="preserve">Report:</w:t>
      </w:r>
      <w:r>
        <w:t xml:space="preserve"> </w:t>
      </w:r>
      <w:r>
        <w:t xml:space="preserve">Thursday, July 30, after market close</w:t>
      </w:r>
      <w:r>
        <w:br/>
      </w:r>
      <w:r>
        <w:rPr>
          <w:b/>
          <w:bCs/>
        </w:rPr>
        <w:t xml:space="preserve">Conference call:</w:t>
      </w:r>
      <w:r>
        <w:t xml:space="preserve"> </w:t>
      </w:r>
      <w:r>
        <w:t xml:space="preserve">Friday, July 31, at 10:00 a.m. ET (</w:t>
      </w:r>
      <w:hyperlink r:id="rId9">
        <w:r>
          <w:rPr>
            <w:rStyle w:val="Hyperlink"/>
          </w:rPr>
          <w:t xml:space="preserve">investors.alliantenergy.com</w:t>
        </w:r>
      </w:hyperlink>
      <w:r>
        <w:t xml:space="preserve">)</w:t>
      </w:r>
    </w:p>
    <w:bookmarkStart w:id="10" w:name="investment-view-going-into-the-report"/>
    <w:p>
      <w:pPr>
        <w:pStyle w:val="Heading2"/>
      </w:pPr>
      <w:r>
        <w:t xml:space="preserve">Investment view going into the report</w:t>
      </w:r>
    </w:p>
    <w:p>
      <w:pPr>
        <w:pStyle w:val="FirstParagraph"/>
      </w:pPr>
      <w:r>
        <w:t xml:space="preserve">For Alliant Energy, the quarter’s EPS is unlikely to be the main share-price driver. The more important questions are:</w:t>
      </w:r>
    </w:p>
    <w:p>
      <w:pPr>
        <w:pStyle w:val="Compact"/>
        <w:numPr>
          <w:ilvl w:val="0"/>
          <w:numId w:val="1001"/>
        </w:numPr>
      </w:pPr>
      <w:r>
        <w:rPr>
          <w:b/>
          <w:bCs/>
        </w:rPr>
        <w:t xml:space="preserve">Is 2026 guidance still comfortably achievable?</w:t>
      </w:r>
    </w:p>
    <w:p>
      <w:pPr>
        <w:pStyle w:val="Compact"/>
        <w:numPr>
          <w:ilvl w:val="0"/>
          <w:numId w:val="1001"/>
        </w:numPr>
      </w:pPr>
      <w:r>
        <w:rPr>
          <w:b/>
          <w:bCs/>
        </w:rPr>
        <w:t xml:space="preserve">Has contracted data-center demand increased beyond 3.4 GW?</w:t>
      </w:r>
    </w:p>
    <w:p>
      <w:pPr>
        <w:pStyle w:val="Compact"/>
        <w:numPr>
          <w:ilvl w:val="0"/>
          <w:numId w:val="1001"/>
        </w:numPr>
      </w:pPr>
      <w:r>
        <w:rPr>
          <w:b/>
          <w:bCs/>
        </w:rPr>
        <w:t xml:space="preserve">Are generation, transmission and regulatory approvals keeping pace with that demand?</w:t>
      </w:r>
    </w:p>
    <w:p>
      <w:pPr>
        <w:pStyle w:val="Compact"/>
        <w:numPr>
          <w:ilvl w:val="0"/>
          <w:numId w:val="1001"/>
        </w:numPr>
      </w:pPr>
      <w:r>
        <w:rPr>
          <w:b/>
          <w:bCs/>
        </w:rPr>
        <w:t xml:space="preserve">Will the data-center opportunity lift the longer-term EPS outlook enough to justify LNT’s valuation and equity needs?</w:t>
      </w:r>
    </w:p>
    <w:p>
      <w:pPr>
        <w:pStyle w:val="FirstParagraph"/>
      </w:pPr>
      <w:r>
        <w:t xml:space="preserve">The base case is a relatively uneventful quarter: EPS near last year’s level, reaffirmed annual guidance and constructive project updates. The upside case requires incremental large-load contracts or stronger language around future earnings growth.</w:t>
      </w:r>
    </w:p>
    <w:p>
      <w:r>
        <w:pict>
          <v:rect style="width:0;height:1.5pt" o:hralign="center" o:hrstd="t" o:hr="t"/>
        </w:pict>
      </w:r>
    </w:p>
    <w:bookmarkEnd w:id="10"/>
    <w:bookmarkStart w:id="13" w:name="expectations-snapshot"/>
    <w:p>
      <w:pPr>
        <w:pStyle w:val="Heading2"/>
      </w:pPr>
      <w:r>
        <w:t xml:space="preserve">Expectations snapshot</w:t>
      </w:r>
    </w:p>
    <w:p>
      <w:pPr>
        <w:pStyle w:val="FirstParagraph"/>
      </w:pPr>
      <w:r>
        <w:t xml:space="preserve">Third-party estimate feeds are unusually inconsistent: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Published expectations</w:t>
            </w:r>
          </w:p>
        </w:tc>
      </w:tr>
      <w:tr>
        <w:tc>
          <w:tcPr/>
          <w:p>
            <w:pPr>
              <w:pStyle w:val="Compact"/>
            </w:pPr>
            <w:r>
              <w:t xml:space="preserve">Q2 EPS</w:t>
            </w:r>
          </w:p>
        </w:tc>
        <w:tc>
          <w:tcPr/>
          <w:p>
            <w:pPr>
              <w:pStyle w:val="Compact"/>
              <w:jc w:val="right"/>
            </w:pPr>
            <w:r>
              <w:t xml:space="preserve">Approximately</w:t>
            </w:r>
            <w:r>
              <w:t xml:space="preserve"> </w:t>
            </w:r>
            <m:oMath>
              <m:r>
                <m:t>0.60</m:t>
              </m:r>
              <m:r>
                <m:rPr>
                  <m:sty m:val="p"/>
                </m:rPr>
                <m:t>–</m:t>
              </m:r>
            </m:oMath>
            <w:r>
              <w:rPr>
                <w:b/>
                <w:bCs/>
              </w:rPr>
              <w:t xml:space="preserve">0.69</w:t>
            </w:r>
          </w:p>
        </w:tc>
      </w:tr>
      <w:tr>
        <w:tc>
          <w:tcPr/>
          <w:p>
            <w:pPr>
              <w:pStyle w:val="Compact"/>
            </w:pPr>
            <w:r>
              <w:t xml:space="preserve">Q2 revenue</w:t>
            </w:r>
          </w:p>
        </w:tc>
        <w:tc>
          <w:tcPr/>
          <w:p>
            <w:pPr>
              <w:pStyle w:val="Compact"/>
              <w:jc w:val="right"/>
            </w:pPr>
            <w:r>
              <w:t xml:space="preserve">Approximately</w:t>
            </w:r>
            <w:r>
              <w:t xml:space="preserve"> </w:t>
            </w:r>
            <m:oMath>
              <m:r>
                <m:t>920</m:t>
              </m:r>
              <m:r>
                <m:rPr>
                  <m:sty m:val="p"/>
                </m:rPr>
                <m:t>–</m:t>
              </m:r>
            </m:oMath>
            <w:r>
              <w:rPr>
                <w:b/>
                <w:bCs/>
              </w:rPr>
              <w:t xml:space="preserve">961 million</w:t>
            </w:r>
          </w:p>
        </w:tc>
      </w:tr>
      <w:tr>
        <w:tc>
          <w:tcPr/>
          <w:p>
            <w:pPr>
              <w:pStyle w:val="Compact"/>
            </w:pPr>
            <w:r>
              <w:t xml:space="preserve">Q2 2025 EPS</w:t>
            </w:r>
          </w:p>
        </w:tc>
        <w:tc>
          <w:tcPr/>
          <w:p>
            <w:pPr>
              <w:pStyle w:val="Compact"/>
              <w:jc w:val="right"/>
            </w:pPr>
            <w:r>
              <w:rPr>
                <w:b/>
                <w:bCs/>
              </w:rPr>
              <w:t xml:space="preserve">$0.68</w:t>
            </w:r>
          </w:p>
        </w:tc>
      </w:tr>
      <w:tr>
        <w:tc>
          <w:tcPr/>
          <w:p>
            <w:pPr>
              <w:pStyle w:val="Compact"/>
            </w:pPr>
            <w:r>
              <w:t xml:space="preserve">Q2 2025 revenue</w:t>
            </w:r>
          </w:p>
        </w:tc>
        <w:tc>
          <w:tcPr/>
          <w:p>
            <w:pPr>
              <w:pStyle w:val="Compact"/>
              <w:jc w:val="right"/>
            </w:pPr>
            <w:r>
              <w:rPr>
                <w:b/>
                <w:bCs/>
              </w:rPr>
              <w:t xml:space="preserve">$961 million</w:t>
            </w:r>
          </w:p>
        </w:tc>
      </w:tr>
    </w:tbl>
    <w:p>
      <w:pPr>
        <w:pStyle w:val="BodyText"/>
      </w:pPr>
      <w:r>
        <w:t xml:space="preserve">TipRanks shows a $0.60 EPS estimate, ChartMill shows $0.63, and Benzinga reports $0.69 and $961 million of revenue. Investors should therefore be careful labeling a small variance as a clean “beat” or “miss.” (</w:t>
      </w:r>
      <w:hyperlink r:id="rId11">
        <w:r>
          <w:rPr>
            <w:rStyle w:val="Hyperlink"/>
          </w:rPr>
          <w:t xml:space="preserve">tipranks.com</w:t>
        </w:r>
      </w:hyperlink>
      <w:r>
        <w:t xml:space="preserve">)</w:t>
      </w:r>
    </w:p>
    <w:p>
      <w:pPr>
        <w:pStyle w:val="BodyText"/>
      </w:pPr>
      <w:r>
        <w:t xml:space="preserve">LNT began the year with</w:t>
      </w:r>
      <w:r>
        <w:t xml:space="preserve"> </w:t>
      </w:r>
      <w:r>
        <w:rPr>
          <w:b/>
          <w:bCs/>
        </w:rPr>
        <w:t xml:space="preserve">Q1 ongoing EPS of $0.82</w:t>
      </w:r>
      <w:r>
        <w:t xml:space="preserve">, versus $0.83 a year earlier, and reaffirmed its</w:t>
      </w:r>
      <w:r>
        <w:t xml:space="preserve"> </w:t>
      </w:r>
      <w:r>
        <w:rPr>
          <w:b/>
          <w:bCs/>
        </w:rPr>
        <w:t xml:space="preserve">2026 ongoing EPS guidance of</w:t>
      </w:r>
      <w:r>
        <w:rPr>
          <w:b/>
          <w:bCs/>
        </w:rPr>
        <w:t xml:space="preserve"> </w:t>
      </w:r>
      <m:oMath>
        <m:r>
          <m:t>3.36</m:t>
        </m:r>
        <m:r>
          <m:rPr>
            <m:sty m:val="p"/>
          </m:rPr>
          <m:t>–</m:t>
        </m:r>
      </m:oMath>
      <w:r>
        <w:rPr>
          <w:b/>
          <w:bCs/>
        </w:rPr>
        <w:t xml:space="preserve">3.46</w:t>
      </w:r>
      <w:r>
        <w:t xml:space="preserve">. Management characterized Q1 as approximately 25% of the full-year midpoint despite mild weather. (</w:t>
      </w:r>
      <w:hyperlink r:id="rId12">
        <w:r>
          <w:rPr>
            <w:rStyle w:val="Hyperlink"/>
          </w:rPr>
          <w:t xml:space="preserve">alliantenergy.com</w:t>
        </w:r>
      </w:hyperlink>
      <w:r>
        <w:t xml:space="preserve">)</w:t>
      </w:r>
    </w:p>
    <w:p>
      <w:pPr>
        <w:pStyle w:val="BodyText"/>
      </w:pPr>
      <w:r>
        <w:t xml:space="preserve">At Q2 EPS of roughly</w:t>
      </w:r>
      <w:r>
        <w:t xml:space="preserve"> </w:t>
      </w:r>
      <m:oMath>
        <m:r>
          <m:t>0.65</m:t>
        </m:r>
        <m:r>
          <m:rPr>
            <m:sty m:val="p"/>
          </m:rPr>
          <m:t>–</m:t>
        </m:r>
      </m:oMath>
      <w:r>
        <w:t xml:space="preserve">0.69, first-half ongoing EPS would be about</w:t>
      </w:r>
      <w:r>
        <w:t xml:space="preserve"> </w:t>
      </w:r>
      <m:oMath>
        <m:r>
          <m:t>1.47</m:t>
        </m:r>
        <m:r>
          <m:rPr>
            <m:sty m:val="p"/>
          </m:rPr>
          <m:t>–</m:t>
        </m:r>
      </m:oMath>
      <w:r>
        <w:t xml:space="preserve">1.51. LNT would then need approximately</w:t>
      </w:r>
      <w:r>
        <w:t xml:space="preserve"> </w:t>
      </w:r>
      <m:oMath>
        <m:r>
          <m:t>1.85</m:t>
        </m:r>
        <m:r>
          <m:rPr>
            <m:sty m:val="p"/>
          </m:rPr>
          <m:t>–</m:t>
        </m:r>
      </m:oMath>
      <w:r>
        <w:rPr>
          <w:b/>
          <w:bCs/>
        </w:rPr>
        <w:t xml:space="preserve">1.99 in the second half</w:t>
      </w:r>
      <w:r>
        <w:t xml:space="preserve"> </w:t>
      </w:r>
      <w:r>
        <w:t xml:space="preserve">to land within guidance—a reasonable burden given that Q3 is normally the seasonally strongest quarter.</w:t>
      </w:r>
    </w:p>
    <w:p>
      <w:r>
        <w:pict>
          <v:rect style="width:0;height:1.5pt" o:hralign="center" o:hrstd="t" o:hr="t"/>
        </w:pict>
      </w:r>
    </w:p>
    <w:bookmarkEnd w:id="13"/>
    <w:bookmarkStart w:id="19" w:name="what-should-drive-q2-results"/>
    <w:p>
      <w:pPr>
        <w:pStyle w:val="Heading2"/>
      </w:pPr>
      <w:r>
        <w:t xml:space="preserve">What should drive Q2 results</w:t>
      </w:r>
    </w:p>
    <w:bookmarkStart w:id="15" w:name="positive-drivers"/>
    <w:p>
      <w:pPr>
        <w:pStyle w:val="Heading3"/>
      </w:pPr>
      <w:r>
        <w:t xml:space="preserve">Positive drivers</w:t>
      </w:r>
    </w:p>
    <w:p>
      <w:pPr>
        <w:pStyle w:val="Compact"/>
        <w:numPr>
          <w:ilvl w:val="0"/>
          <w:numId w:val="1002"/>
        </w:numPr>
      </w:pPr>
      <w:r>
        <w:rPr>
          <w:b/>
          <w:bCs/>
        </w:rPr>
        <w:t xml:space="preserve">Higher authorized revenue requirements</w:t>
      </w:r>
      <w:r>
        <w:t xml:space="preserve"> </w:t>
      </w:r>
      <w:r>
        <w:t xml:space="preserve">as generation, storage and other utility investments enter rate base.</w:t>
      </w:r>
    </w:p>
    <w:p>
      <w:pPr>
        <w:pStyle w:val="Compact"/>
        <w:numPr>
          <w:ilvl w:val="0"/>
          <w:numId w:val="1002"/>
        </w:numPr>
      </w:pPr>
      <w:r>
        <w:rPr>
          <w:b/>
          <w:bCs/>
        </w:rPr>
        <w:t xml:space="preserve">Allowance for funds used during construction</w:t>
      </w:r>
      <w:r>
        <w:t xml:space="preserve">, reflecting the company’s large construction program.</w:t>
      </w:r>
    </w:p>
    <w:p>
      <w:pPr>
        <w:pStyle w:val="Compact"/>
        <w:numPr>
          <w:ilvl w:val="0"/>
          <w:numId w:val="1002"/>
        </w:numPr>
      </w:pPr>
      <w:r>
        <w:t xml:space="preserve">Contributions from Wisconsin’s approved 2026 rates. The state’s two-year settlement took effect January 1 and includes an average electric-rate increase of roughly 3.5% in 2026. (</w:t>
      </w:r>
      <w:hyperlink r:id="rId14">
        <w:r>
          <w:rPr>
            <w:rStyle w:val="Hyperlink"/>
          </w:rPr>
          <w:t xml:space="preserve">alliantenergy.com</w:t>
        </w:r>
      </w:hyperlink>
      <w:r>
        <w:t xml:space="preserve">)</w:t>
      </w:r>
    </w:p>
    <w:p>
      <w:pPr>
        <w:pStyle w:val="Compact"/>
        <w:numPr>
          <w:ilvl w:val="0"/>
          <w:numId w:val="1002"/>
        </w:numPr>
      </w:pPr>
      <w:r>
        <w:t xml:space="preserve">Potentially stronger commercial and industrial demand, including early construction-related data-center load.</w:t>
      </w:r>
    </w:p>
    <w:bookmarkEnd w:id="15"/>
    <w:bookmarkStart w:id="18" w:name="offsets"/>
    <w:p>
      <w:pPr>
        <w:pStyle w:val="Heading3"/>
      </w:pPr>
      <w:r>
        <w:t xml:space="preserve">Offsets</w:t>
      </w:r>
    </w:p>
    <w:p>
      <w:pPr>
        <w:pStyle w:val="Compact"/>
        <w:numPr>
          <w:ilvl w:val="0"/>
          <w:numId w:val="1003"/>
        </w:numPr>
      </w:pPr>
      <w:r>
        <w:rPr>
          <w:b/>
          <w:bCs/>
        </w:rPr>
        <w:t xml:space="preserve">Higher depreciation and interest expense</w:t>
      </w:r>
      <w:r>
        <w:t xml:space="preserve"> </w:t>
      </w:r>
      <w:r>
        <w:t xml:space="preserve">associated with the expanding capital program.</w:t>
      </w:r>
    </w:p>
    <w:p>
      <w:pPr>
        <w:pStyle w:val="Compact"/>
        <w:numPr>
          <w:ilvl w:val="0"/>
          <w:numId w:val="1003"/>
        </w:numPr>
      </w:pPr>
      <w:r>
        <w:t xml:space="preserve">Additional operating and maintenance costs for new generation assets and planned maintenance.</w:t>
      </w:r>
    </w:p>
    <w:p>
      <w:pPr>
        <w:pStyle w:val="Compact"/>
        <w:numPr>
          <w:ilvl w:val="0"/>
          <w:numId w:val="1003"/>
        </w:numPr>
      </w:pPr>
      <w:r>
        <w:t xml:space="preserve">Storm-restoration expense. Severe June weather caused widespread outages across Iowa and Wisconsin; Alliant said it restored service to more than 40,000 customers within 24 hours, with extensive pole replacement required in some areas. (</w:t>
      </w:r>
      <w:hyperlink r:id="rId16">
        <w:r>
          <w:rPr>
            <w:rStyle w:val="Hyperlink"/>
          </w:rPr>
          <w:t xml:space="preserve">alliantenergy.com</w:t>
        </w:r>
      </w:hyperlink>
      <w:r>
        <w:t xml:space="preserve">)</w:t>
      </w:r>
    </w:p>
    <w:p>
      <w:pPr>
        <w:pStyle w:val="Compact"/>
        <w:numPr>
          <w:ilvl w:val="0"/>
          <w:numId w:val="1003"/>
        </w:numPr>
      </w:pPr>
      <w:r>
        <w:t xml:space="preserve">Normal quarterly volatility at the parent and non-utility businesses.</w:t>
      </w:r>
    </w:p>
    <w:p>
      <w:pPr>
        <w:pStyle w:val="FirstParagraph"/>
      </w:pPr>
      <w:r>
        <w:t xml:space="preserve">Weather may not provide the same benefit as in Q2 2025, when temperatures added approximately $0.02 per share versus normal. June 2026 temperatures in Iowa were only modestly above normal, although localized late-quarter heat could support cooling demand. (</w:t>
      </w:r>
      <w:hyperlink r:id="rId17">
        <w:r>
          <w:rPr>
            <w:rStyle w:val="Hyperlink"/>
          </w:rPr>
          <w:t xml:space="preserve">iowaagriculture.gov</w:t>
        </w:r>
      </w:hyperlink>
      <w:r>
        <w:t xml:space="preserve">)</w:t>
      </w:r>
    </w:p>
    <w:p>
      <w:r>
        <w:pict>
          <v:rect style="width:0;height:1.5pt" o:hralign="center" o:hrstd="t" o:hr="t"/>
        </w:pict>
      </w:r>
    </w:p>
    <w:bookmarkEnd w:id="18"/>
    <w:bookmarkEnd w:id="19"/>
    <w:bookmarkStart w:id="21" w:name="the-central-issue-data-center-execution"/>
    <w:p>
      <w:pPr>
        <w:pStyle w:val="Heading2"/>
      </w:pPr>
      <w:r>
        <w:t xml:space="preserve">The central issue: data-center execution</w:t>
      </w:r>
    </w:p>
    <w:p>
      <w:pPr>
        <w:pStyle w:val="FirstParagraph"/>
      </w:pPr>
      <w:r>
        <w:t xml:space="preserve">At the end of Q1, LNT had</w:t>
      </w:r>
      <w:r>
        <w:t xml:space="preserve"> </w:t>
      </w:r>
      <w:r>
        <w:rPr>
          <w:b/>
          <w:bCs/>
        </w:rPr>
        <w:t xml:space="preserve">five executed data-center agreements totaling approximately 3.4 GW</w:t>
      </w:r>
      <w:r>
        <w:t xml:space="preserve">. That contracted demand is expected to increase system demand by roughly 60% by 2031. Management also said the generation needed to serve the contracted load had been secured. (</w:t>
      </w:r>
      <w:hyperlink r:id="rId20">
        <w:r>
          <w:rPr>
            <w:rStyle w:val="Hyperlink"/>
          </w:rPr>
          <w:t xml:space="preserve">s201.q4cdn.com</w:t>
        </w:r>
      </w:hyperlink>
      <w:r>
        <w:t xml:space="preserve">)</w:t>
      </w:r>
    </w:p>
    <w:p>
      <w:pPr>
        <w:pStyle w:val="BodyText"/>
      </w:pPr>
      <w:r>
        <w:t xml:space="preserve">That is the core of the investment thesis. LNT’s existing four-year plan calls for:</w:t>
      </w:r>
    </w:p>
    <w:p>
      <w:pPr>
        <w:pStyle w:val="Compact"/>
        <w:numPr>
          <w:ilvl w:val="0"/>
          <w:numId w:val="1004"/>
        </w:numPr>
      </w:pPr>
      <w:r>
        <w:rPr>
          <w:b/>
          <w:bCs/>
        </w:rPr>
        <w:t xml:space="preserve">$13.4 billion of capital spending from 2026 through 2029</w:t>
      </w:r>
    </w:p>
    <w:p>
      <w:pPr>
        <w:pStyle w:val="Compact"/>
        <w:numPr>
          <w:ilvl w:val="0"/>
          <w:numId w:val="1004"/>
        </w:numPr>
      </w:pPr>
      <w:r>
        <w:t xml:space="preserve">Approximately</w:t>
      </w:r>
      <w:r>
        <w:t xml:space="preserve"> </w:t>
      </w:r>
      <w:r>
        <w:rPr>
          <w:b/>
          <w:bCs/>
        </w:rPr>
        <w:t xml:space="preserve">12% investment CAGR</w:t>
      </w:r>
    </w:p>
    <w:p>
      <w:pPr>
        <w:pStyle w:val="Compact"/>
        <w:numPr>
          <w:ilvl w:val="0"/>
          <w:numId w:val="1004"/>
        </w:numPr>
      </w:pPr>
      <w:r>
        <w:rPr>
          <w:b/>
          <w:bCs/>
        </w:rPr>
        <w:t xml:space="preserve">$2.4 billion of common-equity financing</w:t>
      </w:r>
    </w:p>
    <w:p>
      <w:pPr>
        <w:pStyle w:val="Compact"/>
        <w:numPr>
          <w:ilvl w:val="0"/>
          <w:numId w:val="1004"/>
        </w:numPr>
      </w:pPr>
      <w:r>
        <w:t xml:space="preserve">Roughly</w:t>
      </w:r>
      <w:r>
        <w:t xml:space="preserve"> </w:t>
      </w:r>
      <w:r>
        <w:rPr>
          <w:b/>
          <w:bCs/>
        </w:rPr>
        <w:t xml:space="preserve">$1 billion of equity still to be raised through 2029</w:t>
      </w:r>
      <w:r>
        <w:t xml:space="preserve"> </w:t>
      </w:r>
      <w:r>
        <w:t xml:space="preserve">as of the Q1 update (</w:t>
      </w:r>
      <w:hyperlink r:id="rId20">
        <w:r>
          <w:rPr>
            <w:rStyle w:val="Hyperlink"/>
          </w:rPr>
          <w:t xml:space="preserve">s201.q4cdn.com</w:t>
        </w:r>
      </w:hyperlink>
      <w:r>
        <w:t xml:space="preserve">)</w:t>
      </w:r>
    </w:p>
    <w:p>
      <w:pPr>
        <w:pStyle w:val="FirstParagraph"/>
      </w:pPr>
      <w:r>
        <w:t xml:space="preserve">Management has additionally described a mature</w:t>
      </w:r>
      <w:r>
        <w:t xml:space="preserve"> </w:t>
      </w:r>
      <w:r>
        <w:rPr>
          <w:b/>
          <w:bCs/>
        </w:rPr>
        <w:t xml:space="preserve">2–4 GW pipeline</w:t>
      </w:r>
      <w:r>
        <w:t xml:space="preserve"> </w:t>
      </w:r>
      <w:r>
        <w:t xml:space="preserve">beyond contracted demand. The most consequential disclosure tomorrow would be another signed electric-service agreement. A new contract would likely translate into additional gas generation, storage, wind, transmission and distribution investment—and potentially a higher post-2026 growth rate.</w:t>
      </w:r>
    </w:p>
    <w:p>
      <w:pPr>
        <w:pStyle w:val="BodyText"/>
      </w:pPr>
      <w:r>
        <w:t xml:space="preserve">However, management has indicated that the</w:t>
      </w:r>
      <w:r>
        <w:t xml:space="preserve"> </w:t>
      </w:r>
      <w:r>
        <w:rPr>
          <w:b/>
          <w:bCs/>
        </w:rPr>
        <w:t xml:space="preserve">full Iowa resource-plan, capital-plan and financing update is planned for Q3 earnings</w:t>
      </w:r>
      <w:r>
        <w:t xml:space="preserve">, not Q2. Investors should therefore distinguish between:</w:t>
      </w:r>
    </w:p>
    <w:p>
      <w:pPr>
        <w:pStyle w:val="Compact"/>
        <w:numPr>
          <w:ilvl w:val="0"/>
          <w:numId w:val="1005"/>
        </w:numPr>
      </w:pPr>
      <w:r>
        <w:t xml:space="preserve">a potentially valuable new contract announcement, and</w:t>
      </w:r>
    </w:p>
    <w:p>
      <w:pPr>
        <w:pStyle w:val="Compact"/>
        <w:numPr>
          <w:ilvl w:val="0"/>
          <w:numId w:val="1005"/>
        </w:numPr>
      </w:pPr>
      <w:r>
        <w:t xml:space="preserve">the detailed EPS and capital implications, which may remain deferred until the fall.</w:t>
      </w:r>
    </w:p>
    <w:p>
      <w:r>
        <w:pict>
          <v:rect style="width:0;height:1.5pt" o:hralign="center" o:hrstd="t" o:hr="t"/>
        </w:pict>
      </w:r>
    </w:p>
    <w:bookmarkEnd w:id="21"/>
    <w:bookmarkStart w:id="26" w:name="regulatory-developments-since-q1"/>
    <w:p>
      <w:pPr>
        <w:pStyle w:val="Heading2"/>
      </w:pPr>
      <w:r>
        <w:t xml:space="preserve">Regulatory developments since Q1</w:t>
      </w:r>
    </w:p>
    <w:bookmarkStart w:id="23" w:name="Xaaab569f2354abf015bef39d1042e7d8670d6c2"/>
    <w:p>
      <w:pPr>
        <w:pStyle w:val="Heading3"/>
      </w:pPr>
      <w:r>
        <w:t xml:space="preserve">Meta’s Wisconsin agreement: a meaningful de-risking event</w:t>
      </w:r>
    </w:p>
    <w:p>
      <w:pPr>
        <w:pStyle w:val="FirstParagraph"/>
      </w:pPr>
      <w:r>
        <w:t xml:space="preserve">On May 7, Wisconsin regulators approved, with modifications, Alliant’s electric-service agreement for Meta’s Beaver Dam data center. The PSC strengthened termination and financial safeguards, added reporting requirements and directed Alliant to file a standardized large-load tariff for future customers. (</w:t>
      </w:r>
      <w:hyperlink r:id="rId22">
        <w:r>
          <w:rPr>
            <w:rStyle w:val="Hyperlink"/>
          </w:rPr>
          <w:t xml:space="preserve">psc.wi.gov</w:t>
        </w:r>
      </w:hyperlink>
      <w:r>
        <w:t xml:space="preserve">)</w:t>
      </w:r>
    </w:p>
    <w:p>
      <w:pPr>
        <w:pStyle w:val="BodyText"/>
      </w:pPr>
      <w:r>
        <w:t xml:space="preserve">This is positive because it advances a contracted project and validates a path for serving large customers. But the commission’s emphasis on transparency and customer protection shows that future Wisconsin agreements may face more scrutiny and less contractual flexibility than Alliant initially sought.</w:t>
      </w:r>
    </w:p>
    <w:p>
      <w:pPr>
        <w:pStyle w:val="BodyText"/>
      </w:pPr>
      <w:r>
        <w:t xml:space="preserve">Important questions for management include:</w:t>
      </w:r>
    </w:p>
    <w:p>
      <w:pPr>
        <w:pStyle w:val="Compact"/>
        <w:numPr>
          <w:ilvl w:val="0"/>
          <w:numId w:val="1006"/>
        </w:numPr>
      </w:pPr>
      <w:r>
        <w:t xml:space="preserve">When will the standardized Wisconsin large-load tariff be filed?</w:t>
      </w:r>
    </w:p>
    <w:p>
      <w:pPr>
        <w:pStyle w:val="Compact"/>
        <w:numPr>
          <w:ilvl w:val="0"/>
          <w:numId w:val="1006"/>
        </w:numPr>
      </w:pPr>
      <w:r>
        <w:t xml:space="preserve">Do the required customer protections alter expected margins?</w:t>
      </w:r>
    </w:p>
    <w:p>
      <w:pPr>
        <w:pStyle w:val="Compact"/>
        <w:numPr>
          <w:ilvl w:val="0"/>
          <w:numId w:val="1006"/>
        </w:numPr>
      </w:pPr>
      <w:r>
        <w:t xml:space="preserve">Has the approval changed negotiations with other prospective Wisconsin customers?</w:t>
      </w:r>
    </w:p>
    <w:p>
      <w:pPr>
        <w:pStyle w:val="Compact"/>
        <w:numPr>
          <w:ilvl w:val="0"/>
          <w:numId w:val="1006"/>
        </w:numPr>
      </w:pPr>
      <w:r>
        <w:t xml:space="preserve">Is incremental development increasingly shifting toward Iowa?</w:t>
      </w:r>
    </w:p>
    <w:bookmarkEnd w:id="23"/>
    <w:bookmarkStart w:id="25" w:name="morgan-valley-energy-center"/>
    <w:p>
      <w:pPr>
        <w:pStyle w:val="Heading3"/>
      </w:pPr>
      <w:r>
        <w:t xml:space="preserve">Morgan Valley Energy Center</w:t>
      </w:r>
    </w:p>
    <w:p>
      <w:pPr>
        <w:pStyle w:val="FirstParagraph"/>
      </w:pPr>
      <w:r>
        <w:t xml:space="preserve">Alliant recently filed a rezoning application for the proposed</w:t>
      </w:r>
      <w:r>
        <w:t xml:space="preserve"> </w:t>
      </w:r>
      <w:r>
        <w:rPr>
          <w:b/>
          <w:bCs/>
        </w:rPr>
        <w:t xml:space="preserve">720 MW Morgan Valley Energy Center</w:t>
      </w:r>
      <w:r>
        <w:t xml:space="preserve"> </w:t>
      </w:r>
      <w:r>
        <w:t xml:space="preserve">west of Cedar Rapids. The project would consist of three simple-cycle combustion turbines and is currently targeted for operation in 2030, subject to approvals. (</w:t>
      </w:r>
      <w:hyperlink r:id="rId24">
        <w:r>
          <w:rPr>
            <w:rStyle w:val="Hyperlink"/>
          </w:rPr>
          <w:t xml:space="preserve">alliantenergy.com</w:t>
        </w:r>
      </w:hyperlink>
      <w:r>
        <w:t xml:space="preserve">)</w:t>
      </w:r>
    </w:p>
    <w:p>
      <w:pPr>
        <w:pStyle w:val="BodyText"/>
      </w:pPr>
      <w:r>
        <w:t xml:space="preserve">The filing demonstrates tangible execution behind LNT’s load-growth thesis. Investors should listen for:</w:t>
      </w:r>
    </w:p>
    <w:p>
      <w:pPr>
        <w:pStyle w:val="Compact"/>
        <w:numPr>
          <w:ilvl w:val="0"/>
          <w:numId w:val="1007"/>
        </w:numPr>
      </w:pPr>
      <w:r>
        <w:t xml:space="preserve">the expected regulatory and local-approval timeline;</w:t>
      </w:r>
    </w:p>
    <w:p>
      <w:pPr>
        <w:pStyle w:val="Compact"/>
        <w:numPr>
          <w:ilvl w:val="0"/>
          <w:numId w:val="1007"/>
        </w:numPr>
      </w:pPr>
      <w:r>
        <w:t xml:space="preserve">turbine procurement and construction-cost exposure;</w:t>
      </w:r>
    </w:p>
    <w:p>
      <w:pPr>
        <w:pStyle w:val="Compact"/>
        <w:numPr>
          <w:ilvl w:val="0"/>
          <w:numId w:val="1007"/>
        </w:numPr>
      </w:pPr>
      <w:r>
        <w:t xml:space="preserve">whether 2030 remains achievable;</w:t>
      </w:r>
    </w:p>
    <w:p>
      <w:pPr>
        <w:pStyle w:val="Compact"/>
        <w:numPr>
          <w:ilvl w:val="0"/>
          <w:numId w:val="1007"/>
        </w:numPr>
      </w:pPr>
      <w:r>
        <w:t xml:space="preserve">how much of the plant is incorporated in the current $13.4 billion plan;</w:t>
      </w:r>
    </w:p>
    <w:p>
      <w:pPr>
        <w:pStyle w:val="Compact"/>
        <w:numPr>
          <w:ilvl w:val="0"/>
          <w:numId w:val="1007"/>
        </w:numPr>
      </w:pPr>
      <w:r>
        <w:t xml:space="preserve">whether additional gas capacity will be needed for new contracts.</w:t>
      </w:r>
    </w:p>
    <w:p>
      <w:r>
        <w:pict>
          <v:rect style="width:0;height:1.5pt" o:hralign="center" o:hrstd="t" o:hr="t"/>
        </w:pict>
      </w:r>
    </w:p>
    <w:bookmarkEnd w:id="25"/>
    <w:bookmarkEnd w:id="26"/>
    <w:bookmarkStart w:id="27" w:name="financing-and-valuation"/>
    <w:p>
      <w:pPr>
        <w:pStyle w:val="Heading2"/>
      </w:pPr>
      <w:r>
        <w:t xml:space="preserve">Financing and valuation</w:t>
      </w:r>
    </w:p>
    <w:p>
      <w:pPr>
        <w:pStyle w:val="FirstParagraph"/>
      </w:pPr>
      <w:r>
        <w:t xml:space="preserve">LNT closed July 29 at approximately</w:t>
      </w:r>
      <w:r>
        <w:t xml:space="preserve"> </w:t>
      </w:r>
      <w:r>
        <w:rPr>
          <w:b/>
          <w:bCs/>
        </w:rPr>
        <w:t xml:space="preserve">$71.94</w:t>
      </w:r>
      <w:r>
        <w:t xml:space="preserve">, up about</w:t>
      </w:r>
      <w:r>
        <w:t xml:space="preserve"> </w:t>
      </w:r>
      <w:r>
        <w:rPr>
          <w:b/>
          <w:bCs/>
        </w:rPr>
        <w:t xml:space="preserve">10.7% year to date</w:t>
      </w:r>
      <w:r>
        <w:t xml:space="preserve">, versus roughly 5.2% for the Utilities Select Sector SPDR Fund. At that price, the shares trade at approximately:</w:t>
      </w:r>
    </w:p>
    <w:p>
      <w:pPr>
        <w:pStyle w:val="Compact"/>
        <w:numPr>
          <w:ilvl w:val="0"/>
          <w:numId w:val="1008"/>
        </w:numPr>
      </w:pPr>
      <w:r>
        <w:rPr>
          <w:b/>
          <w:bCs/>
        </w:rPr>
        <w:t xml:space="preserve">21.1×</w:t>
      </w:r>
      <w:r>
        <w:t xml:space="preserve"> </w:t>
      </w:r>
      <w:r>
        <w:t xml:space="preserve">the midpoint of 2026 EPS guidance;</w:t>
      </w:r>
    </w:p>
    <w:p>
      <w:pPr>
        <w:pStyle w:val="Compact"/>
        <w:numPr>
          <w:ilvl w:val="0"/>
          <w:numId w:val="1008"/>
        </w:numPr>
      </w:pPr>
      <w:r>
        <w:t xml:space="preserve">an indicated dividend yield of roughly</w:t>
      </w:r>
      <w:r>
        <w:t xml:space="preserve"> </w:t>
      </w:r>
      <w:r>
        <w:rPr>
          <w:b/>
          <w:bCs/>
        </w:rPr>
        <w:t xml:space="preserve">3.0%</w:t>
      </w:r>
      <w:r>
        <w:t xml:space="preserve">, based on the $2.14 annual dividend target.</w:t>
      </w:r>
    </w:p>
    <w:p>
      <w:pPr>
        <w:pStyle w:val="FirstParagraph"/>
      </w:pPr>
      <w:r>
        <w:t xml:space="preserve">This is not a distressed utility valuation. The market is already assigning meaningful value to data-center-driven growth.</w:t>
      </w:r>
    </w:p>
    <w:p>
      <w:pPr>
        <w:pStyle w:val="BodyText"/>
      </w:pPr>
      <w:r>
        <w:t xml:space="preserve">That creates an asymmetrical setup:</w:t>
      </w:r>
    </w:p>
    <w:p>
      <w:pPr>
        <w:pStyle w:val="Compact"/>
        <w:numPr>
          <w:ilvl w:val="0"/>
          <w:numId w:val="1009"/>
        </w:numPr>
      </w:pPr>
      <w:r>
        <w:t xml:space="preserve">A routine EPS beat and guidance reaffirmation may have limited impact.</w:t>
      </w:r>
    </w:p>
    <w:p>
      <w:pPr>
        <w:pStyle w:val="Compact"/>
        <w:numPr>
          <w:ilvl w:val="0"/>
          <w:numId w:val="1009"/>
        </w:numPr>
      </w:pPr>
      <w:r>
        <w:t xml:space="preserve">Another large contract, accelerated load ramps or stronger long-term EPS commentary could support further upside.</w:t>
      </w:r>
    </w:p>
    <w:p>
      <w:pPr>
        <w:pStyle w:val="Compact"/>
        <w:numPr>
          <w:ilvl w:val="0"/>
          <w:numId w:val="1009"/>
        </w:numPr>
      </w:pPr>
      <w:r>
        <w:t xml:space="preserve">Project delays, weaker customer protections, additional unplanned equity or a less constructive regulatory message could pressure the shares.</w:t>
      </w:r>
    </w:p>
    <w:p>
      <w:pPr>
        <w:pStyle w:val="FirstParagraph"/>
      </w:pPr>
      <w:r>
        <w:t xml:space="preserve">The financing plan is manageable in the near term because the company had already entered forward-equity arrangements covering planned needs through 2027 as of Q1. Nevertheless, investors should monitor whether incremental projects require equity above the existing $2.4 billion plan.</w:t>
      </w:r>
    </w:p>
    <w:p>
      <w:r>
        <w:pict>
          <v:rect style="width:0;height:1.5pt" o:hralign="center" o:hrstd="t" o:hr="t"/>
        </w:pict>
      </w:r>
    </w:p>
    <w:bookmarkEnd w:id="27"/>
    <w:bookmarkStart w:id="31" w:name="bull-base-and-bear-scenarios"/>
    <w:p>
      <w:pPr>
        <w:pStyle w:val="Heading2"/>
      </w:pPr>
      <w:r>
        <w:t xml:space="preserve">Bull, base and bear scenarios</w:t>
      </w:r>
    </w:p>
    <w:bookmarkStart w:id="28" w:name="bull-case"/>
    <w:p>
      <w:pPr>
        <w:pStyle w:val="Heading3"/>
      </w:pPr>
      <w:r>
        <w:t xml:space="preserve">Bull case</w:t>
      </w:r>
    </w:p>
    <w:p>
      <w:pPr>
        <w:pStyle w:val="Compact"/>
        <w:numPr>
          <w:ilvl w:val="0"/>
          <w:numId w:val="1010"/>
        </w:numPr>
      </w:pPr>
      <w:r>
        <w:t xml:space="preserve">EPS at or above the upper end of published estimates.</w:t>
      </w:r>
    </w:p>
    <w:p>
      <w:pPr>
        <w:pStyle w:val="Compact"/>
        <w:numPr>
          <w:ilvl w:val="0"/>
          <w:numId w:val="1010"/>
        </w:numPr>
      </w:pPr>
      <w:r>
        <w:t xml:space="preserve">Guidance reaffirmed with confident language.</w:t>
      </w:r>
    </w:p>
    <w:p>
      <w:pPr>
        <w:pStyle w:val="Compact"/>
        <w:numPr>
          <w:ilvl w:val="0"/>
          <w:numId w:val="1010"/>
        </w:numPr>
      </w:pPr>
      <w:r>
        <w:t xml:space="preserve">One or more incremental data-center agreements.</w:t>
      </w:r>
    </w:p>
    <w:p>
      <w:pPr>
        <w:pStyle w:val="Compact"/>
        <w:numPr>
          <w:ilvl w:val="0"/>
          <w:numId w:val="1010"/>
        </w:numPr>
      </w:pPr>
      <w:r>
        <w:t xml:space="preserve">Morgan Valley and other generation projects remain on schedule.</w:t>
      </w:r>
    </w:p>
    <w:p>
      <w:pPr>
        <w:pStyle w:val="Compact"/>
        <w:numPr>
          <w:ilvl w:val="0"/>
          <w:numId w:val="1010"/>
        </w:numPr>
      </w:pPr>
      <w:r>
        <w:t xml:space="preserve">Management signals that 2027–2029 EPS growth could exceed the current “7%+” expectation.</w:t>
      </w:r>
    </w:p>
    <w:p>
      <w:pPr>
        <w:pStyle w:val="Compact"/>
        <w:numPr>
          <w:ilvl w:val="0"/>
          <w:numId w:val="1010"/>
        </w:numPr>
      </w:pPr>
      <w:r>
        <w:t xml:space="preserve">No increase in financing needs before the Q3 capital-plan refresh.</w:t>
      </w:r>
    </w:p>
    <w:bookmarkEnd w:id="28"/>
    <w:bookmarkStart w:id="29" w:name="base-case"/>
    <w:p>
      <w:pPr>
        <w:pStyle w:val="Heading3"/>
      </w:pPr>
      <w:r>
        <w:t xml:space="preserve">Base case</w:t>
      </w:r>
    </w:p>
    <w:p>
      <w:pPr>
        <w:pStyle w:val="Compact"/>
        <w:numPr>
          <w:ilvl w:val="0"/>
          <w:numId w:val="1011"/>
        </w:numPr>
      </w:pPr>
      <w:r>
        <w:t xml:space="preserve">EPS around</w:t>
      </w:r>
      <w:r>
        <w:t xml:space="preserve"> </w:t>
      </w:r>
      <m:oMath>
        <m:r>
          <m:t>0.65</m:t>
        </m:r>
        <m:r>
          <m:rPr>
            <m:sty m:val="p"/>
          </m:rPr>
          <m:t>–</m:t>
        </m:r>
      </m:oMath>
      <w:r>
        <w:t xml:space="preserve">0.69.</w:t>
      </w:r>
    </w:p>
    <w:p>
      <w:pPr>
        <w:pStyle w:val="Compact"/>
        <w:numPr>
          <w:ilvl w:val="0"/>
          <w:numId w:val="1011"/>
        </w:numPr>
      </w:pPr>
      <w:r>
        <w:t xml:space="preserve">Full-year guidance reaffirmed.</w:t>
      </w:r>
    </w:p>
    <w:p>
      <w:pPr>
        <w:pStyle w:val="Compact"/>
        <w:numPr>
          <w:ilvl w:val="0"/>
          <w:numId w:val="1011"/>
        </w:numPr>
      </w:pPr>
      <w:r>
        <w:t xml:space="preserve">Normal rate-base growth offset by interest, depreciation and storm costs.</w:t>
      </w:r>
    </w:p>
    <w:p>
      <w:pPr>
        <w:pStyle w:val="Compact"/>
        <w:numPr>
          <w:ilvl w:val="0"/>
          <w:numId w:val="1011"/>
        </w:numPr>
      </w:pPr>
      <w:r>
        <w:t xml:space="preserve">Positive updates on Meta and Iowa generation, but no major new contract.</w:t>
      </w:r>
    </w:p>
    <w:p>
      <w:pPr>
        <w:pStyle w:val="Compact"/>
        <w:numPr>
          <w:ilvl w:val="0"/>
          <w:numId w:val="1011"/>
        </w:numPr>
      </w:pPr>
      <w:r>
        <w:t xml:space="preserve">Management reiterates that the detailed resource, capital and earnings update will come with Q3 results.</w:t>
      </w:r>
    </w:p>
    <w:bookmarkEnd w:id="29"/>
    <w:bookmarkStart w:id="30" w:name="bear-case"/>
    <w:p>
      <w:pPr>
        <w:pStyle w:val="Heading3"/>
      </w:pPr>
      <w:r>
        <w:t xml:space="preserve">Bear case</w:t>
      </w:r>
    </w:p>
    <w:p>
      <w:pPr>
        <w:pStyle w:val="Compact"/>
        <w:numPr>
          <w:ilvl w:val="0"/>
          <w:numId w:val="1012"/>
        </w:numPr>
      </w:pPr>
      <w:r>
        <w:t xml:space="preserve">EPS below roughly $0.60, especially if caused by recurring O&amp;M or financing pressure.</w:t>
      </w:r>
    </w:p>
    <w:p>
      <w:pPr>
        <w:pStyle w:val="Compact"/>
        <w:numPr>
          <w:ilvl w:val="0"/>
          <w:numId w:val="1012"/>
        </w:numPr>
      </w:pPr>
      <w:r>
        <w:t xml:space="preserve">Guidance maintained only through reliance on a heavy second half.</w:t>
      </w:r>
    </w:p>
    <w:p>
      <w:pPr>
        <w:pStyle w:val="Compact"/>
        <w:numPr>
          <w:ilvl w:val="0"/>
          <w:numId w:val="1012"/>
        </w:numPr>
      </w:pPr>
      <w:r>
        <w:t xml:space="preserve">Data-center customers delay construction or load ramps.</w:t>
      </w:r>
    </w:p>
    <w:p>
      <w:pPr>
        <w:pStyle w:val="Compact"/>
        <w:numPr>
          <w:ilvl w:val="0"/>
          <w:numId w:val="1012"/>
        </w:numPr>
      </w:pPr>
      <w:r>
        <w:t xml:space="preserve">Higher project costs or slower permitting for gas generation.</w:t>
      </w:r>
    </w:p>
    <w:p>
      <w:pPr>
        <w:pStyle w:val="Compact"/>
        <w:numPr>
          <w:ilvl w:val="0"/>
          <w:numId w:val="1012"/>
        </w:numPr>
      </w:pPr>
      <w:r>
        <w:t xml:space="preserve">Wisconsin’s tariff requirements reduce expected returns or slow future contracting.</w:t>
      </w:r>
    </w:p>
    <w:p>
      <w:pPr>
        <w:pStyle w:val="Compact"/>
        <w:numPr>
          <w:ilvl w:val="0"/>
          <w:numId w:val="1012"/>
        </w:numPr>
      </w:pPr>
      <w:r>
        <w:t xml:space="preserve">Incremental equity needs rise without a corresponding increase in EPS growth.</w:t>
      </w:r>
    </w:p>
    <w:p>
      <w:r>
        <w:pict>
          <v:rect style="width:0;height:1.5pt" o:hralign="center" o:hrstd="t" o:hr="t"/>
        </w:pict>
      </w:r>
    </w:p>
    <w:bookmarkEnd w:id="30"/>
    <w:bookmarkEnd w:id="31"/>
    <w:bookmarkStart w:id="32" w:name="questions-investors-should-want-answered"/>
    <w:p>
      <w:pPr>
        <w:pStyle w:val="Heading2"/>
      </w:pPr>
      <w:r>
        <w:t xml:space="preserve">Questions investors should want answered</w:t>
      </w:r>
    </w:p>
    <w:p>
      <w:pPr>
        <w:pStyle w:val="Compact"/>
        <w:numPr>
          <w:ilvl w:val="0"/>
          <w:numId w:val="1013"/>
        </w:numPr>
      </w:pPr>
      <w:r>
        <w:rPr>
          <w:b/>
          <w:bCs/>
        </w:rPr>
        <w:t xml:space="preserve">Has contracted data-center demand increased beyond 3.4 GW?</w:t>
      </w:r>
    </w:p>
    <w:p>
      <w:pPr>
        <w:pStyle w:val="Compact"/>
        <w:numPr>
          <w:ilvl w:val="0"/>
          <w:numId w:val="1013"/>
        </w:numPr>
      </w:pPr>
      <w:r>
        <w:rPr>
          <w:b/>
          <w:bCs/>
        </w:rPr>
        <w:t xml:space="preserve">When will the first material data-center load begin contributing to sales and earnings?</w:t>
      </w:r>
    </w:p>
    <w:p>
      <w:pPr>
        <w:pStyle w:val="Compact"/>
        <w:numPr>
          <w:ilvl w:val="0"/>
          <w:numId w:val="1013"/>
        </w:numPr>
      </w:pPr>
      <w:r>
        <w:rPr>
          <w:b/>
          <w:bCs/>
        </w:rPr>
        <w:t xml:space="preserve">How much of the current 2–4 GW pipeline is in Iowa versus Wisconsin?</w:t>
      </w:r>
    </w:p>
    <w:p>
      <w:pPr>
        <w:pStyle w:val="Compact"/>
        <w:numPr>
          <w:ilvl w:val="0"/>
          <w:numId w:val="1013"/>
        </w:numPr>
      </w:pPr>
      <w:r>
        <w:rPr>
          <w:b/>
          <w:bCs/>
        </w:rPr>
        <w:t xml:space="preserve">Did the Meta decision change expected economics or contract structures?</w:t>
      </w:r>
    </w:p>
    <w:p>
      <w:pPr>
        <w:pStyle w:val="Compact"/>
        <w:numPr>
          <w:ilvl w:val="0"/>
          <w:numId w:val="1013"/>
        </w:numPr>
      </w:pPr>
      <w:r>
        <w:rPr>
          <w:b/>
          <w:bCs/>
        </w:rPr>
        <w:t xml:space="preserve">Are Morgan Valley and other gas projects still on schedule and budget?</w:t>
      </w:r>
    </w:p>
    <w:p>
      <w:pPr>
        <w:pStyle w:val="Compact"/>
        <w:numPr>
          <w:ilvl w:val="0"/>
          <w:numId w:val="1013"/>
        </w:numPr>
      </w:pPr>
      <w:r>
        <w:rPr>
          <w:b/>
          <w:bCs/>
        </w:rPr>
        <w:t xml:space="preserve">Does management still expect at least 7% EPS growth during 2027–2029?</w:t>
      </w:r>
    </w:p>
    <w:p>
      <w:pPr>
        <w:pStyle w:val="Compact"/>
        <w:numPr>
          <w:ilvl w:val="0"/>
          <w:numId w:val="1013"/>
        </w:numPr>
      </w:pPr>
      <w:r>
        <w:rPr>
          <w:b/>
          <w:bCs/>
        </w:rPr>
        <w:t xml:space="preserve">Will incremental load require equity beyond the current $2.4 billion financing plan?</w:t>
      </w:r>
    </w:p>
    <w:p>
      <w:pPr>
        <w:pStyle w:val="Compact"/>
        <w:numPr>
          <w:ilvl w:val="0"/>
          <w:numId w:val="1013"/>
        </w:numPr>
      </w:pPr>
      <w:r>
        <w:rPr>
          <w:b/>
          <w:bCs/>
        </w:rPr>
        <w:t xml:space="preserve">What was the Q2 weather and storm impact on EPS?</w:t>
      </w:r>
    </w:p>
    <w:bookmarkEnd w:id="32"/>
    <w:bookmarkStart w:id="33" w:name="bottom-line"/>
    <w:p>
      <w:pPr>
        <w:pStyle w:val="Heading2"/>
      </w:pPr>
      <w:r>
        <w:t xml:space="preserve">Bottom line</w:t>
      </w:r>
    </w:p>
    <w:p>
      <w:pPr>
        <w:pStyle w:val="FirstParagraph"/>
      </w:pPr>
      <w:r>
        <w:t xml:space="preserve">The hurdle for a satisfactory report is modest:</w:t>
      </w:r>
      <w:r>
        <w:t xml:space="preserve"> </w:t>
      </w:r>
      <w:r>
        <w:rPr>
          <w:b/>
          <w:bCs/>
        </w:rPr>
        <w:t xml:space="preserve">EPS near the prior-year $0.68, reaffirmed</w:t>
      </w:r>
      <w:r>
        <w:rPr>
          <w:b/>
          <w:bCs/>
        </w:rPr>
        <w:t xml:space="preserve"> </w:t>
      </w:r>
      <m:oMath>
        <m:r>
          <m:t>3.36</m:t>
        </m:r>
        <m:r>
          <m:rPr>
            <m:sty m:val="p"/>
          </m:rPr>
          <m:t>–</m:t>
        </m:r>
      </m:oMath>
      <w:r>
        <w:rPr>
          <w:b/>
          <w:bCs/>
        </w:rPr>
        <w:t xml:space="preserve">3.46 guidance and continued project execution</w:t>
      </w:r>
      <w:r>
        <w:t xml:space="preserve">. But with LNT trading above 21× guidance after outperforming utilities year to date, merely meeting that hurdle may not be enough to drive substantial upside.</w:t>
      </w:r>
    </w:p>
    <w:p>
      <w:pPr>
        <w:pStyle w:val="BodyText"/>
      </w:pPr>
      <w:r>
        <w:t xml:space="preserve">The key potential catalyst is another signed data-center agreement. The key risk is that the generation, regulatory and equity requirements needed to serve rapid load growth begin to dilute the attractive headline growth story.</w:t>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s.alliantenergy.com/News--Presentations/news/news-details/2026/Alliant-Energy-Corporation-Announces-Second-Quarter-Earnings-Release-and-Conference-Call/default.aspx?utm_source=openai" TargetMode="External" /><Relationship Type="http://schemas.openxmlformats.org/officeDocument/2006/relationships/hyperlink" Id="rId17" Target="https://iowaagriculture.gov/climatology-bureau/monthly-weather-report?utm_source=openai" TargetMode="External" /><Relationship Type="http://schemas.openxmlformats.org/officeDocument/2006/relationships/hyperlink" Id="rId22" Target="https://psc.wi.gov/Documents/PressReleases/05.08.26PressRelease.PDF" TargetMode="External" /><Relationship Type="http://schemas.openxmlformats.org/officeDocument/2006/relationships/hyperlink" Id="rId20" Target="https://s201.q4cdn.com/991130938/files/doc_financials/2026/q1/2026-Q1-Earnings-Call-Slides-Draft.pdf?utm_source=openai" TargetMode="External" /><Relationship Type="http://schemas.openxmlformats.org/officeDocument/2006/relationships/hyperlink" Id="rId14" Target="https://www.alliantenergy.com/account-and-billing/understanding-bill-rates/wisconsin/rate-review" TargetMode="External" /><Relationship Type="http://schemas.openxmlformats.org/officeDocument/2006/relationships/hyperlink" Id="rId12" Target="https://www.alliantenergy.com/news/news-center/2026/04/043026-earnings?utm_source=openai" TargetMode="External" /><Relationship Type="http://schemas.openxmlformats.org/officeDocument/2006/relationships/hyperlink" Id="rId16" Target="https://www.alliantenergy.com/news/news-center/2026/06/061126-severeweather" TargetMode="External" /><Relationship Type="http://schemas.openxmlformats.org/officeDocument/2006/relationships/hyperlink" Id="rId24" Target="https://www.alliantenergy.com/news/news-center/2026/07/07162026-ipl-files-rezoning-application-with-linn-county" TargetMode="External" /><Relationship Type="http://schemas.openxmlformats.org/officeDocument/2006/relationships/hyperlink" Id="rId11" Target="https://www.tipranks.com/stocks/lnt/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s.alliantenergy.com/News--Presentations/news/news-details/2026/Alliant-Energy-Corporation-Announces-Second-Quarter-Earnings-Release-and-Conference-Call/default.aspx?utm_source=openai" TargetMode="External" /><Relationship Type="http://schemas.openxmlformats.org/officeDocument/2006/relationships/hyperlink" Id="rId17" Target="https://iowaagriculture.gov/climatology-bureau/monthly-weather-report?utm_source=openai" TargetMode="External" /><Relationship Type="http://schemas.openxmlformats.org/officeDocument/2006/relationships/hyperlink" Id="rId22" Target="https://psc.wi.gov/Documents/PressReleases/05.08.26PressRelease.PDF" TargetMode="External" /><Relationship Type="http://schemas.openxmlformats.org/officeDocument/2006/relationships/hyperlink" Id="rId20" Target="https://s201.q4cdn.com/991130938/files/doc_financials/2026/q1/2026-Q1-Earnings-Call-Slides-Draft.pdf?utm_source=openai" TargetMode="External" /><Relationship Type="http://schemas.openxmlformats.org/officeDocument/2006/relationships/hyperlink" Id="rId14" Target="https://www.alliantenergy.com/account-and-billing/understanding-bill-rates/wisconsin/rate-review" TargetMode="External" /><Relationship Type="http://schemas.openxmlformats.org/officeDocument/2006/relationships/hyperlink" Id="rId12" Target="https://www.alliantenergy.com/news/news-center/2026/04/043026-earnings?utm_source=openai" TargetMode="External" /><Relationship Type="http://schemas.openxmlformats.org/officeDocument/2006/relationships/hyperlink" Id="rId16" Target="https://www.alliantenergy.com/news/news-center/2026/06/061126-severeweather" TargetMode="External" /><Relationship Type="http://schemas.openxmlformats.org/officeDocument/2006/relationships/hyperlink" Id="rId24" Target="https://www.alliantenergy.com/news/news-center/2026/07/07162026-ipl-files-rezoning-application-with-linn-county" TargetMode="External" /><Relationship Type="http://schemas.openxmlformats.org/officeDocument/2006/relationships/hyperlink" Id="rId11" Target="https://www.tipranks.com/stocks/lnt/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2026-07-29T20:01:41Z</dcterms:created>
  <dcterms:modified xsi:type="dcterms:W3CDTF">2026-07-29T20:01:41Z</dcterms:modified>
</cp:coreProperties>
</file>

<file path=docProps/custom.xml><?xml version="1.0" encoding="utf-8"?>
<Properties xmlns="http://schemas.openxmlformats.org/officeDocument/2006/custom-properties" xmlns:vt="http://schemas.openxmlformats.org/officeDocument/2006/docPropsVTypes"/>
</file>