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nt-earnings-predictions--2026-07-30"/>
    <w:p>
      <w:pPr>
        <w:pStyle w:val="Heading1"/>
      </w:pPr>
      <w:r>
        <w:t xml:space="preserve">LNT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ongoing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~$0.70 vs. cons $0.70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~$1.01B vs. cons $0.99B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data-center demand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~3.4 GW vs. cons 3.4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ongoing EPS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~$3.41 vs. cons $3.41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gas-capacity development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~1.82 GW vs. cons 1.82 GW (through 2031)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Planned common-equity funding need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~$2.4B vs. cons $2.4B (2026-2029)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(STABILIZE)</w:t>
            </w:r>
          </w:p>
        </w:tc>
        <w:tc>
          <w:tcPr/>
          <w:p>
            <w:pPr>
              <w:pStyle w:val="Compact"/>
            </w:pPr>
            <w:r>
              <w:t xml:space="preserve">A modest revenue beat and EPS in-line result with FY26 guidance held at ~</w:t>
            </w:r>
            <m:oMath>
              <m:r>
                <m:t>3.41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3.41 consensus should limit estimate revisions; unchanged ~3.4 GW contracted-load disclosure versus ~3.4 GW expectations leaves the longer-term data-center thesis intact but provides insufficient new out-period earnings math for sustained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2026-07-29T20:00:14Z</dcterms:created>
  <dcterms:modified xsi:type="dcterms:W3CDTF">2026-07-29T20:00:14Z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