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57d2187c750141371ab2325256b6a4f89a2d236"/>
    <w:p>
      <w:pPr>
        <w:pStyle w:val="Heading1"/>
      </w:pPr>
      <w:r>
        <w:t xml:space="preserve">Alliant Energy (NASDAQ: LNT) — 2Q26 Earnings Preview</w:t>
      </w:r>
    </w:p>
    <w:p>
      <w:pPr>
        <w:pStyle w:val="FirstParagraph"/>
      </w:pPr>
      <w:r>
        <w:rPr>
          <w:b/>
          <w:bCs/>
        </w:rPr>
        <w:t xml:space="preserve">Timing:</w:t>
      </w:r>
      <w:r>
        <w:t xml:space="preserve"> </w:t>
      </w:r>
      <w:r>
        <w:t xml:space="preserve">Alliant is scheduled to release 2Q26 results</w:t>
      </w:r>
      <w:r>
        <w:t xml:space="preserve"> </w:t>
      </w:r>
      <w:r>
        <w:rPr>
          <w:b/>
          <w:bCs/>
        </w:rPr>
        <w:t xml:space="preserve">after the market closes on Thursday, July 30, 2026</w:t>
      </w:r>
      <w:r>
        <w:t xml:space="preserve">. The associated earnings call is</w:t>
      </w:r>
      <w:r>
        <w:t xml:space="preserve"> </w:t>
      </w:r>
      <w:r>
        <w:rPr>
          <w:b/>
          <w:bCs/>
        </w:rPr>
        <w:t xml:space="preserve">Friday, July 31 at 9:00 a.m. CT</w:t>
      </w:r>
      <w:r>
        <w:t xml:space="preserve">—not July 30.</w:t>
      </w:r>
    </w:p>
    <w:bookmarkStart w:id="9" w:name="X43a8db7757c71fe50a74927f90630ce1a58197d"/>
    <w:p>
      <w:pPr>
        <w:pStyle w:val="Heading2"/>
      </w:pPr>
      <w:r>
        <w:t xml:space="preserve">Investment view: the quarter matters, but the call matters more</w:t>
      </w:r>
    </w:p>
    <w:p>
      <w:pPr>
        <w:pStyle w:val="FirstParagraph"/>
      </w:pPr>
      <w:r>
        <w:t xml:space="preserve">Alliant enters 2Q earnings with its core 2026 earnings plan intact and a meaningful long-term growth narrative centered on data-center load in Iowa and Wisconsin. The near-term question is whether ordinary utility execution—weather-normalized sales, O&amp;M, financing costs, and capital-project timing—continues to support the company’s</w:t>
      </w:r>
      <w:r>
        <w:t xml:space="preserve"> </w:t>
      </w:r>
      <m:oMath>
        <m:r>
          <m:t>3.36</m:t>
        </m:r>
        <m:r>
          <m:rPr>
            <m:sty m:val="p"/>
          </m:rPr>
          <m:t>–</m:t>
        </m:r>
      </m:oMath>
      <w:r>
        <w:rPr>
          <w:b/>
          <w:bCs/>
        </w:rPr>
        <w:t xml:space="preserve">3.46 ongoing EPS guidance</w:t>
      </w:r>
      <w:r>
        <w:t xml:space="preserve">. The larger valuation question is whether management can further de-risk the potential upside from contracted and prospective large-load customers without increasing concerns around capital intensity, dilution, MISO capacity accreditation, or customer-concentration risk.</w:t>
      </w:r>
    </w:p>
    <w:p>
      <w:pPr>
        <w:pStyle w:val="BodyText"/>
      </w:pPr>
      <w:r>
        <w:t xml:space="preserve">LNT closed July 29 at</w:t>
      </w:r>
      <w:r>
        <w:t xml:space="preserve"> </w:t>
      </w:r>
      <w:r>
        <w:rPr>
          <w:b/>
          <w:bCs/>
        </w:rPr>
        <w:t xml:space="preserve">$72.03</w:t>
      </w:r>
      <w:r>
        <w:t xml:space="preserve">, up roughly</w:t>
      </w:r>
      <w:r>
        <w:t xml:space="preserve"> </w:t>
      </w:r>
      <w:r>
        <w:rPr>
          <w:b/>
          <w:bCs/>
        </w:rPr>
        <w:t xml:space="preserve">9.8% year to date</w:t>
      </w:r>
      <w:r>
        <w:t xml:space="preserve"> </w:t>
      </w:r>
      <w:r>
        <w:t xml:space="preserve">but down about</w:t>
      </w:r>
      <w:r>
        <w:t xml:space="preserve"> </w:t>
      </w:r>
      <w:r>
        <w:rPr>
          <w:b/>
          <w:bCs/>
        </w:rPr>
        <w:t xml:space="preserve">5.6% from its June 30 close of $76.29</w:t>
      </w:r>
      <w:r>
        <w:t xml:space="preserve">. That leaves the report positioned as a potential catalyst for a reset in sentiment—especially if management offers more confidence on load conversion, resource-plan timing, and financing.</w:t>
      </w:r>
    </w:p>
    <w:bookmarkEnd w:id="9"/>
    <w:bookmarkStart w:id="12" w:name="Xbc6263c6b2f018e6c2c5566e4136ff1d3f221a1"/>
    <w:p>
      <w:pPr>
        <w:pStyle w:val="Heading2"/>
      </w:pPr>
      <w:r>
        <w:t xml:space="preserve">What investors should expect from the reported quarter</w:t>
      </w:r>
    </w:p>
    <w:bookmarkStart w:id="10" w:name="X50157af69f5047b360d7c08bdaa797107e22659"/>
    <w:p>
      <w:pPr>
        <w:pStyle w:val="Heading3"/>
      </w:pPr>
      <w:r>
        <w:t xml:space="preserve">1. Guidance reaffirmation is the central near-term test</w:t>
      </w:r>
    </w:p>
    <w:p>
      <w:pPr>
        <w:pStyle w:val="FirstParagraph"/>
      </w:pPr>
      <w:r>
        <w:t xml:space="preserve">In 1Q26, Alliant reported</w:t>
      </w:r>
      <w:r>
        <w:t xml:space="preserve"> </w:t>
      </w:r>
      <w:r>
        <w:rPr>
          <w:b/>
          <w:bCs/>
        </w:rPr>
        <w:t xml:space="preserve">$0.82 of ongoing EPS</w:t>
      </w:r>
      <w:r>
        <w:t xml:space="preserve">, versus $0.83 a year earlier, while reaffirming its full-year</w:t>
      </w:r>
      <w:r>
        <w:t xml:space="preserve"> </w:t>
      </w:r>
      <m:oMath>
        <m:r>
          <m:t>3.36</m:t>
        </m:r>
        <m:r>
          <m:rPr>
            <m:sty m:val="p"/>
          </m:rPr>
          <m:t>–</m:t>
        </m:r>
      </m:oMath>
      <w:r>
        <w:t xml:space="preserve">3.46 range. The first quarter represented approximately 25% of the guidance midpoint despite mild weather, which management characterized as an encouraging start.</w:t>
      </w:r>
    </w:p>
    <w:p>
      <w:pPr>
        <w:pStyle w:val="BodyText"/>
      </w:pPr>
      <w:r>
        <w:t xml:space="preserve">The 2Q comparison is relatively clean: Alliant generated</w:t>
      </w:r>
      <w:r>
        <w:t xml:space="preserve"> </w:t>
      </w:r>
      <w:r>
        <w:rPr>
          <w:b/>
          <w:bCs/>
        </w:rPr>
        <w:t xml:space="preserve">$0.68 of GAAP and ongoing EPS in 2Q25</w:t>
      </w:r>
      <w:r>
        <w:t xml:space="preserve">. Last year’s result benefited from higher revenue requirements from capital investment and a modest favorable weather contribution, partly offset by higher depreciation and financing costs.</w:t>
      </w:r>
    </w:p>
    <w:p>
      <w:pPr>
        <w:pStyle w:val="BodyText"/>
      </w:pPr>
      <w:r>
        <w:t xml:space="preserve">For 2Q26, investors should focus less on a mechanical year-over-year EPS comparison and more on whether management confirms that its full-year assumptions remain valid:</w:t>
      </w:r>
    </w:p>
    <w:p>
      <w:pPr>
        <w:pStyle w:val="Compact"/>
        <w:numPr>
          <w:ilvl w:val="0"/>
          <w:numId w:val="1001"/>
        </w:numPr>
      </w:pPr>
      <w:r>
        <w:t xml:space="preserve">normal weather for the balance of the year;</w:t>
      </w:r>
    </w:p>
    <w:p>
      <w:pPr>
        <w:pStyle w:val="Compact"/>
        <w:numPr>
          <w:ilvl w:val="0"/>
          <w:numId w:val="1001"/>
        </w:numPr>
      </w:pPr>
      <w:r>
        <w:t xml:space="preserve">earned authorized returns at IPL and WPL;</w:t>
      </w:r>
    </w:p>
    <w:p>
      <w:pPr>
        <w:pStyle w:val="Compact"/>
        <w:numPr>
          <w:ilvl w:val="0"/>
          <w:numId w:val="1001"/>
        </w:numPr>
      </w:pPr>
      <w:r>
        <w:t xml:space="preserve">capital projects entering service on schedule;</w:t>
      </w:r>
    </w:p>
    <w:p>
      <w:pPr>
        <w:pStyle w:val="Compact"/>
        <w:numPr>
          <w:ilvl w:val="0"/>
          <w:numId w:val="1001"/>
        </w:numPr>
      </w:pPr>
      <w:r>
        <w:t xml:space="preserve">contained O&amp;M and maintenance costs;</w:t>
      </w:r>
    </w:p>
    <w:p>
      <w:pPr>
        <w:pStyle w:val="Compact"/>
        <w:numPr>
          <w:ilvl w:val="0"/>
          <w:numId w:val="1001"/>
        </w:numPr>
      </w:pPr>
      <w:r>
        <w:t xml:space="preserve">financing execution consistent with plan; and</w:t>
      </w:r>
    </w:p>
    <w:p>
      <w:pPr>
        <w:pStyle w:val="Compact"/>
        <w:numPr>
          <w:ilvl w:val="0"/>
          <w:numId w:val="1001"/>
        </w:numPr>
      </w:pPr>
      <w:r>
        <w:t xml:space="preserve">a consolidated effective tax rate assumption of approximately</w:t>
      </w:r>
      <w:r>
        <w:t xml:space="preserve"> </w:t>
      </w:r>
      <w:r>
        <w:rPr>
          <w:b/>
          <w:bCs/>
        </w:rPr>
        <w:t xml:space="preserve">(29%)</w:t>
      </w:r>
      <w:r>
        <w:t xml:space="preserve">.</w:t>
      </w:r>
    </w:p>
    <w:p>
      <w:pPr>
        <w:pStyle w:val="FirstParagraph"/>
      </w:pPr>
      <w:r>
        <w:t xml:space="preserve">A guide reaffirmation would likely be viewed as the base-case outcome. A raise may be less likely this early, given management’s stated intent to provide a more complete resource-plan and long-term-growth update with 3Q results.</w:t>
      </w:r>
    </w:p>
    <w:bookmarkEnd w:id="10"/>
    <w:bookmarkStart w:id="11" w:name="X02e3c6d5eed2bff7635ad810e619e88283faf1f"/>
    <w:p>
      <w:pPr>
        <w:pStyle w:val="Heading3"/>
      </w:pPr>
      <w:r>
        <w:t xml:space="preserve">2. Core earnings tailwinds remain visible—but so do cost offsets</w:t>
      </w:r>
    </w:p>
    <w:p>
      <w:pPr>
        <w:pStyle w:val="FirstParagraph"/>
      </w:pPr>
      <w:r>
        <w:t xml:space="preserve">In 1Q, higher rate-base-related revenue requirements contributed</w:t>
      </w:r>
      <w:r>
        <w:t xml:space="preserve"> </w:t>
      </w:r>
      <m:oMath>
        <m:r>
          <m:t>0.05</m:t>
        </m:r>
        <m:r>
          <m:t>p</m:t>
        </m:r>
        <m:r>
          <m:t>e</m:t>
        </m:r>
        <m:r>
          <m:t>r</m:t>
        </m:r>
        <m:r>
          <m:t>s</m:t>
        </m:r>
        <m:r>
          <m:t>h</m:t>
        </m:r>
        <m:r>
          <m:t>a</m:t>
        </m:r>
        <m:r>
          <m:t>r</m:t>
        </m:r>
        <m:r>
          <m:t>e</m:t>
        </m:r>
        <m:r>
          <m:t>a</m:t>
        </m:r>
        <m:r>
          <m:t>t</m:t>
        </m:r>
        <m:r>
          <m:t>I</m:t>
        </m:r>
        <m:r>
          <m:t>P</m:t>
        </m:r>
        <m:r>
          <m:t>L</m:t>
        </m:r>
        <m:r>
          <m:rPr>
            <m:sty m:val="p"/>
          </m:rPr>
          <m:t>*</m:t>
        </m:r>
        <m:r>
          <m:rPr>
            <m:sty m:val="p"/>
          </m:rPr>
          <m:t>*</m:t>
        </m:r>
        <m:r>
          <m:t>a</m:t>
        </m:r>
        <m:r>
          <m:t>n</m:t>
        </m:r>
        <m:r>
          <m:t>d</m:t>
        </m:r>
        <m:r>
          <m:rPr>
            <m:sty m:val="p"/>
          </m:rPr>
          <m:t>*</m:t>
        </m:r>
        <m:r>
          <m:rPr>
            <m:sty m:val="p"/>
          </m:rPr>
          <m:t>*</m:t>
        </m:r>
      </m:oMath>
      <w:r>
        <w:rPr>
          <w:b/>
          <w:bCs/>
        </w:rPr>
        <w:t xml:space="preserve">0.10 per share at WPL</w:t>
      </w:r>
      <w:r>
        <w:t xml:space="preserve">, aided by higher allowance for funds used during construction (AFUDC). Those gains were offset by higher depreciation, financing expense, and O&amp;M—particularly maintenance and costs associated with new energy resources.</w:t>
      </w:r>
    </w:p>
    <w:p>
      <w:pPr>
        <w:pStyle w:val="BodyText"/>
      </w:pPr>
      <w:r>
        <w:t xml:space="preserve">That same push-pull should define 2Q:</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Positive factors</w:t>
            </w:r>
          </w:p>
        </w:tc>
        <w:tc>
          <w:tcPr/>
          <w:p>
            <w:pPr>
              <w:pStyle w:val="Compact"/>
            </w:pPr>
            <w:r>
              <w:t xml:space="preserve">Offset / risk factors</w:t>
            </w:r>
          </w:p>
        </w:tc>
      </w:tr>
      <w:tr>
        <w:tc>
          <w:tcPr/>
          <w:p>
            <w:pPr>
              <w:pStyle w:val="Compact"/>
            </w:pPr>
            <w:r>
              <w:t xml:space="preserve">Rate-base growth and approved investment recovery</w:t>
            </w:r>
          </w:p>
        </w:tc>
        <w:tc>
          <w:tcPr/>
          <w:p>
            <w:pPr>
              <w:pStyle w:val="Compact"/>
            </w:pPr>
            <w:r>
              <w:t xml:space="preserve">Depreciation from the growing asset base</w:t>
            </w:r>
          </w:p>
        </w:tc>
      </w:tr>
      <w:tr>
        <w:tc>
          <w:tcPr/>
          <w:p>
            <w:pPr>
              <w:pStyle w:val="Compact"/>
            </w:pPr>
            <w:r>
              <w:t xml:space="preserve">AFUDC from a larger construction program</w:t>
            </w:r>
          </w:p>
        </w:tc>
        <w:tc>
          <w:tcPr/>
          <w:p>
            <w:pPr>
              <w:pStyle w:val="Compact"/>
            </w:pPr>
            <w:r>
              <w:t xml:space="preserve">Interest expense and refinancing costs</w:t>
            </w:r>
          </w:p>
        </w:tc>
      </w:tr>
      <w:tr>
        <w:tc>
          <w:tcPr/>
          <w:p>
            <w:pPr>
              <w:pStyle w:val="Compact"/>
            </w:pPr>
            <w:r>
              <w:t xml:space="preserve">Potential favorable summer weather</w:t>
            </w:r>
          </w:p>
        </w:tc>
        <w:tc>
          <w:tcPr/>
          <w:p>
            <w:pPr>
              <w:pStyle w:val="Compact"/>
            </w:pPr>
            <w:r>
              <w:t xml:space="preserve">O&amp;M, including generation and distribution maintenance</w:t>
            </w:r>
          </w:p>
        </w:tc>
      </w:tr>
      <w:tr>
        <w:tc>
          <w:tcPr/>
          <w:p>
            <w:pPr>
              <w:pStyle w:val="Compact"/>
            </w:pPr>
            <w:r>
              <w:t xml:space="preserve">Customer growth and commercial/industrial demand</w:t>
            </w:r>
          </w:p>
        </w:tc>
        <w:tc>
          <w:tcPr/>
          <w:p>
            <w:pPr>
              <w:pStyle w:val="Compact"/>
            </w:pPr>
            <w:r>
              <w:t xml:space="preserve">Timing of capital in-service dates</w:t>
            </w:r>
          </w:p>
        </w:tc>
      </w:tr>
      <w:tr>
        <w:tc>
          <w:tcPr/>
          <w:p>
            <w:pPr>
              <w:pStyle w:val="Compact"/>
            </w:pPr>
            <w:r>
              <w:t xml:space="preserve">Tax-credit monetization and utility regulatory mechanisms</w:t>
            </w:r>
          </w:p>
        </w:tc>
        <w:tc>
          <w:tcPr/>
          <w:p>
            <w:pPr>
              <w:pStyle w:val="Compact"/>
            </w:pPr>
            <w:r>
              <w:t xml:space="preserve">Equity issuance / share-count growth</w:t>
            </w:r>
          </w:p>
        </w:tc>
      </w:tr>
    </w:tbl>
    <w:p>
      <w:pPr>
        <w:pStyle w:val="BodyText"/>
      </w:pPr>
      <w:r>
        <w:t xml:space="preserve">The key takeaway is that Alliant’s earnings model is working as intended: invest capital, grow regulated rate base, and recover returns through constructive regulatory frameworks. However, the model is increasingly capital-intensive, making execution and financing discipline essential.</w:t>
      </w:r>
    </w:p>
    <w:bookmarkEnd w:id="11"/>
    <w:bookmarkEnd w:id="12"/>
    <w:bookmarkStart w:id="14" w:name="X0e169eb154bdc55430a092d084d84554dfc13bf"/>
    <w:p>
      <w:pPr>
        <w:pStyle w:val="Heading2"/>
      </w:pPr>
      <w:r>
        <w:t xml:space="preserve">The real focus: data centers and the path from pipeline to earnings</w:t>
      </w:r>
    </w:p>
    <w:p>
      <w:pPr>
        <w:pStyle w:val="FirstParagraph"/>
      </w:pPr>
      <w:r>
        <w:t xml:space="preserve">Alliant’s large-load opportunity is substantial. At the end of 1Q, management cited:</w:t>
      </w:r>
    </w:p>
    <w:p>
      <w:pPr>
        <w:pStyle w:val="Compact"/>
        <w:numPr>
          <w:ilvl w:val="0"/>
          <w:numId w:val="1002"/>
        </w:numPr>
      </w:pPr>
      <w:r>
        <w:rPr>
          <w:b/>
          <w:bCs/>
        </w:rPr>
        <w:t xml:space="preserve">five executed data-center agreements</w:t>
      </w:r>
      <w:r>
        <w:t xml:space="preserve"> </w:t>
      </w:r>
      <w:r>
        <w:t xml:space="preserve">totaling approximately</w:t>
      </w:r>
      <w:r>
        <w:t xml:space="preserve"> </w:t>
      </w:r>
      <w:r>
        <w:rPr>
          <w:b/>
          <w:bCs/>
        </w:rPr>
        <w:t xml:space="preserve">3.4 GW</w:t>
      </w:r>
      <w:r>
        <w:t xml:space="preserve"> </w:t>
      </w:r>
      <w:r>
        <w:t xml:space="preserve">of contracted demand;</w:t>
      </w:r>
    </w:p>
    <w:p>
      <w:pPr>
        <w:pStyle w:val="Compact"/>
        <w:numPr>
          <w:ilvl w:val="0"/>
          <w:numId w:val="1002"/>
        </w:numPr>
      </w:pPr>
      <w:r>
        <w:rPr>
          <w:b/>
          <w:bCs/>
        </w:rPr>
        <w:t xml:space="preserve">three projects under active construction</w:t>
      </w:r>
      <w:r>
        <w:t xml:space="preserve">;</w:t>
      </w:r>
    </w:p>
    <w:p>
      <w:pPr>
        <w:pStyle w:val="Compact"/>
        <w:numPr>
          <w:ilvl w:val="0"/>
          <w:numId w:val="1002"/>
        </w:numPr>
      </w:pPr>
      <w:r>
        <w:t xml:space="preserve">an additional</w:t>
      </w:r>
      <w:r>
        <w:t xml:space="preserve"> </w:t>
      </w:r>
      <w:r>
        <w:rPr>
          <w:b/>
          <w:bCs/>
        </w:rPr>
        <w:t xml:space="preserve">2–4 GW</w:t>
      </w:r>
      <w:r>
        <w:t xml:space="preserve"> </w:t>
      </w:r>
      <w:r>
        <w:t xml:space="preserve">of “mature” large-load opportunities; and</w:t>
      </w:r>
    </w:p>
    <w:p>
      <w:pPr>
        <w:pStyle w:val="Compact"/>
        <w:numPr>
          <w:ilvl w:val="0"/>
          <w:numId w:val="1002"/>
        </w:numPr>
      </w:pPr>
      <w:r>
        <w:t xml:space="preserve">a newly signed</w:t>
      </w:r>
      <w:r>
        <w:t xml:space="preserve"> </w:t>
      </w:r>
      <w:r>
        <w:rPr>
          <w:b/>
          <w:bCs/>
        </w:rPr>
        <w:t xml:space="preserve">370 MW Iowa electric-service agreement</w:t>
      </w:r>
      <w:r>
        <w:t xml:space="preserve">, with full load ramp expected by the end of 2030.</w:t>
      </w:r>
    </w:p>
    <w:p>
      <w:pPr>
        <w:pStyle w:val="FirstParagraph"/>
      </w:pPr>
      <w:r>
        <w:t xml:space="preserve">This contracted demand is more than 60% of Alliant’s current peak demand, according to management. It is the primary source of potential upside to Alliant’s previously stated expectation of</w:t>
      </w:r>
      <w:r>
        <w:t xml:space="preserve"> </w:t>
      </w:r>
      <w:r>
        <w:rPr>
          <w:b/>
          <w:bCs/>
        </w:rPr>
        <w:t xml:space="preserve">7%+ EPS CAGR for 2027–2029</w:t>
      </w:r>
      <w:r>
        <w:t xml:space="preserve">.</w:t>
      </w:r>
    </w:p>
    <w:bookmarkStart w:id="13" w:name="what-to-listen-for-on-the-call"/>
    <w:p>
      <w:pPr>
        <w:pStyle w:val="Heading3"/>
      </w:pPr>
      <w:r>
        <w:t xml:space="preserve">What to listen for on the call</w:t>
      </w:r>
    </w:p>
    <w:p>
      <w:pPr>
        <w:pStyle w:val="FirstParagraph"/>
      </w:pPr>
      <w:r>
        <w:t xml:space="preserve">Investors should seek evidence that the opportunity is transitioning from a compelling narrative into an investable capital-and-earnings plan:</w:t>
      </w:r>
    </w:p>
    <w:p>
      <w:pPr>
        <w:numPr>
          <w:ilvl w:val="0"/>
          <w:numId w:val="1003"/>
        </w:numPr>
      </w:pPr>
      <w:r>
        <w:rPr>
          <w:b/>
          <w:bCs/>
        </w:rPr>
        <w:t xml:space="preserve">Additional executed service agreements.</w:t>
      </w:r>
      <w:r>
        <w:br/>
      </w:r>
      <w:r>
        <w:t xml:space="preserve">Even a modest new agreement would reinforce that the 2–4 GW pipeline is converting. Conversely, no new agreements would not necessarily be negative, but management needs to affirm the pipeline’s maturity and timing.</w:t>
      </w:r>
    </w:p>
    <w:p>
      <w:pPr>
        <w:numPr>
          <w:ilvl w:val="0"/>
          <w:numId w:val="1003"/>
        </w:numPr>
      </w:pPr>
      <w:r>
        <w:rPr>
          <w:b/>
          <w:bCs/>
        </w:rPr>
        <w:t xml:space="preserve">Load-ramp visibility.</w:t>
      </w:r>
      <w:r>
        <w:br/>
      </w:r>
      <w:r>
        <w:t xml:space="preserve">The most important disclosure is not merely gigawatts signed, but when customers will consume power and when associated generation and transmission investments earn returns.</w:t>
      </w:r>
    </w:p>
    <w:p>
      <w:pPr>
        <w:numPr>
          <w:ilvl w:val="0"/>
          <w:numId w:val="1003"/>
        </w:numPr>
      </w:pPr>
      <w:r>
        <w:rPr>
          <w:b/>
          <w:bCs/>
        </w:rPr>
        <w:t xml:space="preserve">Individual customer rates and cost responsibility.</w:t>
      </w:r>
      <w:r>
        <w:br/>
      </w:r>
      <w:r>
        <w:t xml:space="preserve">Alliant’s investment case depends on large-load customers bearing the costs they cause, while providing a margin that benefits legacy customers. Updates on individual customer-rate filings—particularly for Iowa data centers and the Meta project in Wisconsin—would be material.</w:t>
      </w:r>
    </w:p>
    <w:p>
      <w:pPr>
        <w:numPr>
          <w:ilvl w:val="0"/>
          <w:numId w:val="1003"/>
        </w:numPr>
      </w:pPr>
      <w:r>
        <w:rPr>
          <w:b/>
          <w:bCs/>
        </w:rPr>
        <w:t xml:space="preserve">The updated Iowa resource plan.</w:t>
      </w:r>
      <w:r>
        <w:br/>
      </w:r>
      <w:r>
        <w:t xml:space="preserve">Management has indicated that its 3Q update should refresh the Iowa resource plan for incremental load and updated MISO accreditation assumptions. Investors should look for any preliminary indication in 2Q of the size, timing, and mix of generation needed.</w:t>
      </w:r>
    </w:p>
    <w:bookmarkEnd w:id="13"/>
    <w:bookmarkEnd w:id="14"/>
    <w:bookmarkStart w:id="15" w:name="X24d24cb4dfd05072ed98af8307b27841dcecbc8"/>
    <w:p>
      <w:pPr>
        <w:pStyle w:val="Heading2"/>
      </w:pPr>
      <w:r>
        <w:t xml:space="preserve">Resource buildout: flexibility is a feature, but execution risk is rising</w:t>
      </w:r>
    </w:p>
    <w:p>
      <w:pPr>
        <w:pStyle w:val="FirstParagraph"/>
      </w:pPr>
      <w:r>
        <w:t xml:space="preserve">Management has emphasized a capacity-oriented solution built around batteries and simple-cycle natural-gas turbines, rather than immediately committing to large combined-cycle plants. This reflects Alliant’s wind-rich Iowa footprint: batteries and peakers can support reliability and capacity needs while preserving the option to add combined-cycle capability later if energy demand warrants it.</w:t>
      </w:r>
    </w:p>
    <w:p>
      <w:pPr>
        <w:pStyle w:val="BodyText"/>
      </w:pPr>
      <w:r>
        <w:t xml:space="preserve">Current notable items include:</w:t>
      </w:r>
    </w:p>
    <w:p>
      <w:pPr>
        <w:pStyle w:val="Compact"/>
        <w:numPr>
          <w:ilvl w:val="0"/>
          <w:numId w:val="1004"/>
        </w:numPr>
      </w:pPr>
      <w:r>
        <w:t xml:space="preserve">an active Iowa regulatory docket for a</w:t>
      </w:r>
      <w:r>
        <w:t xml:space="preserve"> </w:t>
      </w:r>
      <w:r>
        <w:rPr>
          <w:b/>
          <w:bCs/>
        </w:rPr>
        <w:t xml:space="preserve">720 MW natural-gas combustion-turbine project</w:t>
      </w:r>
      <w:r>
        <w:t xml:space="preserve">;</w:t>
      </w:r>
    </w:p>
    <w:p>
      <w:pPr>
        <w:pStyle w:val="Compact"/>
        <w:numPr>
          <w:ilvl w:val="0"/>
          <w:numId w:val="1004"/>
        </w:numPr>
      </w:pPr>
      <w:r>
        <w:t xml:space="preserve">a contract with a third party for up to</w:t>
      </w:r>
      <w:r>
        <w:t xml:space="preserve"> </w:t>
      </w:r>
      <w:r>
        <w:rPr>
          <w:b/>
          <w:bCs/>
        </w:rPr>
        <w:t xml:space="preserve">1.1 GW</w:t>
      </w:r>
      <w:r>
        <w:t xml:space="preserve"> </w:t>
      </w:r>
      <w:r>
        <w:t xml:space="preserve">of simple-cycle gas capacity, with an expected 2031 in-service date;</w:t>
      </w:r>
    </w:p>
    <w:p>
      <w:pPr>
        <w:pStyle w:val="Compact"/>
        <w:numPr>
          <w:ilvl w:val="0"/>
          <w:numId w:val="1004"/>
        </w:numPr>
      </w:pPr>
      <w:r>
        <w:t xml:space="preserve">Iowa approval of advanced ratemaking principles for up to</w:t>
      </w:r>
      <w:r>
        <w:t xml:space="preserve"> </w:t>
      </w:r>
      <w:r>
        <w:rPr>
          <w:b/>
          <w:bCs/>
        </w:rPr>
        <w:t xml:space="preserve">1 GW of new wind</w:t>
      </w:r>
      <w:r>
        <w:t xml:space="preserve">, at a current blended</w:t>
      </w:r>
      <w:r>
        <w:t xml:space="preserve"> </w:t>
      </w:r>
      <w:r>
        <w:rPr>
          <w:b/>
          <w:bCs/>
        </w:rPr>
        <w:t xml:space="preserve">9.8% ROE</w:t>
      </w:r>
      <w:r>
        <w:t xml:space="preserve">; and</w:t>
      </w:r>
    </w:p>
    <w:p>
      <w:pPr>
        <w:pStyle w:val="Compact"/>
        <w:numPr>
          <w:ilvl w:val="0"/>
          <w:numId w:val="1004"/>
        </w:numPr>
      </w:pPr>
      <w:r>
        <w:t xml:space="preserve">Wisconsin approval for the</w:t>
      </w:r>
      <w:r>
        <w:t xml:space="preserve"> </w:t>
      </w:r>
      <w:r>
        <w:rPr>
          <w:b/>
          <w:bCs/>
        </w:rPr>
        <w:t xml:space="preserve">153 MW Bent Tree North Wind</w:t>
      </w:r>
      <w:r>
        <w:t xml:space="preserve"> </w:t>
      </w:r>
      <w:r>
        <w:t xml:space="preserve">project.</w:t>
      </w:r>
    </w:p>
    <w:p>
      <w:pPr>
        <w:pStyle w:val="FirstParagraph"/>
      </w:pPr>
      <w:r>
        <w:t xml:space="preserve">This is strategically attractive because it can align incremental investment with customer demand. But the investment case becomes more sensitive to the following risks:</w:t>
      </w:r>
    </w:p>
    <w:p>
      <w:pPr>
        <w:pStyle w:val="Compact"/>
        <w:numPr>
          <w:ilvl w:val="0"/>
          <w:numId w:val="1005"/>
        </w:numPr>
      </w:pPr>
      <w:r>
        <w:t xml:space="preserve">MISO accreditation changes reducing the capacity value of existing resources;</w:t>
      </w:r>
    </w:p>
    <w:p>
      <w:pPr>
        <w:pStyle w:val="Compact"/>
        <w:numPr>
          <w:ilvl w:val="0"/>
          <w:numId w:val="1005"/>
        </w:numPr>
      </w:pPr>
      <w:r>
        <w:t xml:space="preserve">transmission-upgrade timing;</w:t>
      </w:r>
    </w:p>
    <w:p>
      <w:pPr>
        <w:pStyle w:val="Compact"/>
        <w:numPr>
          <w:ilvl w:val="0"/>
          <w:numId w:val="1005"/>
        </w:numPr>
      </w:pPr>
      <w:r>
        <w:t xml:space="preserve">turbine, battery, labor, and construction availability;</w:t>
      </w:r>
    </w:p>
    <w:p>
      <w:pPr>
        <w:pStyle w:val="Compact"/>
        <w:numPr>
          <w:ilvl w:val="0"/>
          <w:numId w:val="1005"/>
        </w:numPr>
      </w:pPr>
      <w:r>
        <w:t xml:space="preserve">permitting and regulatory approvals;</w:t>
      </w:r>
    </w:p>
    <w:p>
      <w:pPr>
        <w:pStyle w:val="Compact"/>
        <w:numPr>
          <w:ilvl w:val="0"/>
          <w:numId w:val="1005"/>
        </w:numPr>
      </w:pPr>
      <w:r>
        <w:t xml:space="preserve">cost escalation; and</w:t>
      </w:r>
    </w:p>
    <w:p>
      <w:pPr>
        <w:pStyle w:val="Compact"/>
        <w:numPr>
          <w:ilvl w:val="0"/>
          <w:numId w:val="1005"/>
        </w:numPr>
      </w:pPr>
      <w:r>
        <w:t xml:space="preserve">a customer delaying, downsizing, or canceling a data-center project after infrastructure is committed.</w:t>
      </w:r>
    </w:p>
    <w:bookmarkEnd w:id="15"/>
    <w:bookmarkStart w:id="16" w:name="X465b6ee025a4a0afb40a81d4a395864f6fd0284"/>
    <w:p>
      <w:pPr>
        <w:pStyle w:val="Heading2"/>
      </w:pPr>
      <w:r>
        <w:t xml:space="preserve">Regulatory progress: constructive, but still a key swing factor</w:t>
      </w:r>
    </w:p>
    <w:p>
      <w:pPr>
        <w:pStyle w:val="FirstParagraph"/>
      </w:pPr>
      <w:r>
        <w:t xml:space="preserve">Alliant’s current regulatory setup is a relative strength. There are no active base-rate reviews planned in 2026, and Iowa’s framework allows base electric rates to remain stable through at least the end of the decade while Alliant earns authorized returns through retained tax credits and incremental energy margins.</w:t>
      </w:r>
    </w:p>
    <w:p>
      <w:pPr>
        <w:pStyle w:val="BodyText"/>
      </w:pPr>
      <w:r>
        <w:t xml:space="preserve">Still, the upcoming report should provide updates on several open items:</w:t>
      </w:r>
    </w:p>
    <w:p>
      <w:pPr>
        <w:pStyle w:val="Compact"/>
        <w:numPr>
          <w:ilvl w:val="0"/>
          <w:numId w:val="1006"/>
        </w:numPr>
      </w:pPr>
      <w:r>
        <w:t xml:space="preserve">Iowa approval process for the 720 MW combustion-turbine project;</w:t>
      </w:r>
    </w:p>
    <w:p>
      <w:pPr>
        <w:pStyle w:val="Compact"/>
        <w:numPr>
          <w:ilvl w:val="0"/>
          <w:numId w:val="1006"/>
        </w:numPr>
      </w:pPr>
      <w:r>
        <w:t xml:space="preserve">Iowa individual customer-rate applications for the QTS-related load and the 370 MW agreement;</w:t>
      </w:r>
    </w:p>
    <w:p>
      <w:pPr>
        <w:pStyle w:val="Compact"/>
        <w:numPr>
          <w:ilvl w:val="0"/>
          <w:numId w:val="1006"/>
        </w:numPr>
      </w:pPr>
      <w:r>
        <w:t xml:space="preserve">Wisconsin’s individual customer-rate filing for Meta’s Beaver Dam data center;</w:t>
      </w:r>
    </w:p>
    <w:p>
      <w:pPr>
        <w:pStyle w:val="Compact"/>
        <w:numPr>
          <w:ilvl w:val="0"/>
          <w:numId w:val="1006"/>
        </w:numPr>
      </w:pPr>
      <w:r>
        <w:t xml:space="preserve">Wisconsin construction-authority dockets involving LNG storage, wind, and Riverside capacity; and</w:t>
      </w:r>
    </w:p>
    <w:p>
      <w:pPr>
        <w:pStyle w:val="Compact"/>
        <w:numPr>
          <w:ilvl w:val="0"/>
          <w:numId w:val="1006"/>
        </w:numPr>
      </w:pPr>
      <w:r>
        <w:t xml:space="preserve">community and political response to data-center development, particularly in Wisconsin.</w:t>
      </w:r>
    </w:p>
    <w:p>
      <w:pPr>
        <w:pStyle w:val="FirstParagraph"/>
      </w:pPr>
      <w:r>
        <w:t xml:space="preserve">Constructive outcomes could validate Alliant’s claim that new customers will fund the incremental infrastructure they require. Delays or concessions could pressure the long-term growth case.</w:t>
      </w:r>
    </w:p>
    <w:bookmarkEnd w:id="16"/>
    <w:bookmarkStart w:id="17" w:name="Xf52c4ab2247c2243bd002dcbb65aeebbc3bb790"/>
    <w:p>
      <w:pPr>
        <w:pStyle w:val="Heading2"/>
      </w:pPr>
      <w:r>
        <w:t xml:space="preserve">Financing: adequately planned, but dilution remains part of the story</w:t>
      </w:r>
    </w:p>
    <w:p>
      <w:pPr>
        <w:pStyle w:val="FirstParagraph"/>
      </w:pPr>
      <w:r>
        <w:t xml:space="preserve">Alliant has laid out a sizable financing program to support its capital plan. Management expects approximately</w:t>
      </w:r>
      <w:r>
        <w:t xml:space="preserve"> </w:t>
      </w:r>
      <m:oMath>
        <m:r>
          <m:t>2.4</m:t>
        </m:r>
        <m:r>
          <m:t>b</m:t>
        </m:r>
        <m:r>
          <m:t>i</m:t>
        </m:r>
        <m:r>
          <m:t>l</m:t>
        </m:r>
        <m:r>
          <m:t>l</m:t>
        </m:r>
        <m:r>
          <m:t>i</m:t>
        </m:r>
        <m:r>
          <m:t>o</m:t>
        </m:r>
        <m:r>
          <m:t>n</m:t>
        </m:r>
        <m:r>
          <m:t>o</m:t>
        </m:r>
        <m:r>
          <m:t>f</m:t>
        </m:r>
        <m:r>
          <m:t>c</m:t>
        </m:r>
        <m:r>
          <m:t>o</m:t>
        </m:r>
        <m:r>
          <m:t>m</m:t>
        </m:r>
        <m:r>
          <m:t>m</m:t>
        </m:r>
        <m:r>
          <m:t>o</m:t>
        </m:r>
        <m:r>
          <m:t>n</m:t>
        </m:r>
        <m:r>
          <m:rPr>
            <m:sty m:val="p"/>
          </m:rPr>
          <m:t>−</m:t>
        </m:r>
        <m:r>
          <m:t>e</m:t>
        </m:r>
        <m:r>
          <m:t>q</m:t>
        </m:r>
        <m:r>
          <m:t>u</m:t>
        </m:r>
        <m:r>
          <m:t>i</m:t>
        </m:r>
        <m:r>
          <m:t>t</m:t>
        </m:r>
        <m:r>
          <m:t>y</m:t>
        </m:r>
        <m:r>
          <m:t>n</m:t>
        </m:r>
        <m:r>
          <m:t>e</m:t>
        </m:r>
        <m:r>
          <m:t>e</m:t>
        </m:r>
        <m:r>
          <m:t>d</m:t>
        </m:r>
        <m:r>
          <m:t>s</m:t>
        </m:r>
        <m:r>
          <m:t>o</m:t>
        </m:r>
        <m:r>
          <m:t>v</m:t>
        </m:r>
        <m:r>
          <m:t>e</m:t>
        </m:r>
        <m:r>
          <m:t>r</m:t>
        </m:r>
        <m:r>
          <m:t>f</m:t>
        </m:r>
        <m:r>
          <m:t>o</m:t>
        </m:r>
        <m:r>
          <m:t>u</m:t>
        </m:r>
        <m:r>
          <m:t>r</m:t>
        </m:r>
        <m:r>
          <m:t>y</m:t>
        </m:r>
        <m:r>
          <m:t>e</m:t>
        </m:r>
        <m:r>
          <m:t>a</m:t>
        </m:r>
        <m:r>
          <m:t>r</m:t>
        </m:r>
        <m:r>
          <m:t>s</m:t>
        </m:r>
        <m:r>
          <m:rPr>
            <m:sty m:val="p"/>
          </m:rPr>
          <m:t>*</m:t>
        </m:r>
        <m:r>
          <m:rPr>
            <m:sty m:val="p"/>
          </m:rPr>
          <m:t>*</m:t>
        </m:r>
        <m:r>
          <m:rPr>
            <m:sty m:val="p"/>
          </m:rPr>
          <m:t>,</m:t>
        </m:r>
        <m:r>
          <m:t>o</m:t>
        </m:r>
        <m:r>
          <m:t>f</m:t>
        </m:r>
        <m:r>
          <m:t>w</m:t>
        </m:r>
        <m:r>
          <m:t>h</m:t>
        </m:r>
        <m:r>
          <m:t>i</m:t>
        </m:r>
        <m:r>
          <m:t>c</m:t>
        </m:r>
        <m:r>
          <m:t>h</m:t>
        </m:r>
        <m:r>
          <m:t>r</m:t>
        </m:r>
        <m:r>
          <m:t>o</m:t>
        </m:r>
        <m:r>
          <m:t>u</m:t>
        </m:r>
        <m:r>
          <m:t>g</m:t>
        </m:r>
        <m:r>
          <m:t>h</m:t>
        </m:r>
        <m:r>
          <m:t>l</m:t>
        </m:r>
        <m:r>
          <m:t>y</m:t>
        </m:r>
        <m:r>
          <m:rPr>
            <m:sty m:val="p"/>
          </m:rPr>
          <m:t>*</m:t>
        </m:r>
        <m:r>
          <m:rPr>
            <m:sty m:val="p"/>
          </m:rPr>
          <m:t>*</m:t>
        </m:r>
      </m:oMath>
      <w:r>
        <w:rPr>
          <w:b/>
          <w:bCs/>
        </w:rPr>
        <w:t xml:space="preserve">1.3 billion</w:t>
      </w:r>
      <w:r>
        <w:t xml:space="preserve"> </w:t>
      </w:r>
      <w:r>
        <w:t xml:space="preserve">had already been raised through forward equity agreements as of 1Q, covering planned needs through 2027. The company also established a new</w:t>
      </w:r>
      <w:r>
        <w:t xml:space="preserve"> </w:t>
      </w:r>
      <w:r>
        <w:rPr>
          <w:b/>
          <w:bCs/>
        </w:rPr>
        <w:t xml:space="preserve">$1 billion at-the-market program</w:t>
      </w:r>
      <w:r>
        <w:t xml:space="preserve"> </w:t>
      </w:r>
      <w:r>
        <w:t xml:space="preserve">to support remaining expected equity needs through 2029.</w:t>
      </w:r>
    </w:p>
    <w:p>
      <w:pPr>
        <w:pStyle w:val="BodyText"/>
      </w:pPr>
      <w:r>
        <w:t xml:space="preserve">Other relevant points:</w:t>
      </w:r>
    </w:p>
    <w:p>
      <w:pPr>
        <w:pStyle w:val="Compact"/>
        <w:numPr>
          <w:ilvl w:val="0"/>
          <w:numId w:val="1007"/>
        </w:numPr>
      </w:pPr>
      <w:r>
        <w:t xml:space="preserve">Alliant expects up to</w:t>
      </w:r>
      <w:r>
        <w:t xml:space="preserve"> </w:t>
      </w:r>
      <w:r>
        <w:rPr>
          <w:b/>
          <w:bCs/>
        </w:rPr>
        <w:t xml:space="preserve">$800 million</w:t>
      </w:r>
      <w:r>
        <w:t xml:space="preserve"> </w:t>
      </w:r>
      <w:r>
        <w:t xml:space="preserve">of additional long-term debt issuance in 2026, split between WPL and IPL.</w:t>
      </w:r>
    </w:p>
    <w:p>
      <w:pPr>
        <w:pStyle w:val="Compact"/>
        <w:numPr>
          <w:ilvl w:val="0"/>
          <w:numId w:val="1007"/>
        </w:numPr>
      </w:pPr>
      <w:r>
        <w:t xml:space="preserve">IPL’s S&amp;P credit rating was upgraded from BBB+ to</w:t>
      </w:r>
      <w:r>
        <w:t xml:space="preserve"> </w:t>
      </w:r>
      <w:r>
        <w:rPr>
          <w:b/>
          <w:bCs/>
        </w:rPr>
        <w:t xml:space="preserve">A-</w:t>
      </w:r>
      <w:r>
        <w:t xml:space="preserve"> </w:t>
      </w:r>
      <w:r>
        <w:t xml:space="preserve">in 1Q.</w:t>
      </w:r>
    </w:p>
    <w:p>
      <w:pPr>
        <w:pStyle w:val="Compact"/>
        <w:numPr>
          <w:ilvl w:val="0"/>
          <w:numId w:val="1007"/>
        </w:numPr>
      </w:pPr>
      <w:r>
        <w:t xml:space="preserve">Alliant monetized</w:t>
      </w:r>
      <w:r>
        <w:t xml:space="preserve"> </w:t>
      </w:r>
      <w:r>
        <w:rPr>
          <w:b/>
          <w:bCs/>
        </w:rPr>
        <w:t xml:space="preserve">$90 million</w:t>
      </w:r>
      <w:r>
        <w:t xml:space="preserve"> </w:t>
      </w:r>
      <w:r>
        <w:t xml:space="preserve">of renewable tax credits in 1Q, supporting operating cash flow and capital funding.</w:t>
      </w:r>
    </w:p>
    <w:p>
      <w:pPr>
        <w:pStyle w:val="Compact"/>
        <w:numPr>
          <w:ilvl w:val="0"/>
          <w:numId w:val="1007"/>
        </w:numPr>
      </w:pPr>
      <w:r>
        <w:t xml:space="preserve">The company retired $1.1 billion of parent-level and Alliant Energy Finance maturities during 1Q using cash and new debt, including a $400 million term loan.</w:t>
      </w:r>
    </w:p>
    <w:p>
      <w:pPr>
        <w:pStyle w:val="FirstParagraph"/>
      </w:pPr>
      <w:r>
        <w:t xml:space="preserve">The financing plan is proactive and broadly consistent with a high-growth regulated utility. Still, investors will watch for any increase in the capital plan that requires more equity than currently contemplated, especially before the data-center load is fully online.</w:t>
      </w:r>
    </w:p>
    <w:bookmarkEnd w:id="17"/>
    <w:bookmarkStart w:id="20" w:name="key-debate-heading-into-earnings"/>
    <w:p>
      <w:pPr>
        <w:pStyle w:val="Heading2"/>
      </w:pPr>
      <w:r>
        <w:t xml:space="preserve">Key debate heading into earnings</w:t>
      </w:r>
    </w:p>
    <w:bookmarkStart w:id="18" w:name="bull-case"/>
    <w:p>
      <w:pPr>
        <w:pStyle w:val="Heading3"/>
      </w:pPr>
      <w:r>
        <w:t xml:space="preserve">Bull case</w:t>
      </w:r>
    </w:p>
    <w:p>
      <w:pPr>
        <w:pStyle w:val="Compact"/>
        <w:numPr>
          <w:ilvl w:val="0"/>
          <w:numId w:val="1008"/>
        </w:numPr>
      </w:pPr>
      <w:r>
        <w:t xml:space="preserve">2026 guidance remains intact, with rate-base growth and AFUDC offsetting weather and cost pressures.</w:t>
      </w:r>
    </w:p>
    <w:p>
      <w:pPr>
        <w:pStyle w:val="Compact"/>
        <w:numPr>
          <w:ilvl w:val="0"/>
          <w:numId w:val="1008"/>
        </w:numPr>
      </w:pPr>
      <w:r>
        <w:t xml:space="preserve">Contracted data-center demand is real, large, and increasingly supported by executed agreements and active construction.</w:t>
      </w:r>
    </w:p>
    <w:p>
      <w:pPr>
        <w:pStyle w:val="Compact"/>
        <w:numPr>
          <w:ilvl w:val="0"/>
          <w:numId w:val="1008"/>
        </w:numPr>
      </w:pPr>
      <w:r>
        <w:t xml:space="preserve">Alliant can turn incremental load into a long-duration capital program while shielding existing customers through individual rates and cost-responsibility provisions.</w:t>
      </w:r>
    </w:p>
    <w:p>
      <w:pPr>
        <w:pStyle w:val="Compact"/>
        <w:numPr>
          <w:ilvl w:val="0"/>
          <w:numId w:val="1008"/>
        </w:numPr>
      </w:pPr>
      <w:r>
        <w:t xml:space="preserve">The 3Q resource-plan update could establish a higher long-term earnings-growth trajectory than the current 7%+ outlook.</w:t>
      </w:r>
    </w:p>
    <w:bookmarkEnd w:id="18"/>
    <w:bookmarkStart w:id="19" w:name="bear-case"/>
    <w:p>
      <w:pPr>
        <w:pStyle w:val="Heading3"/>
      </w:pPr>
      <w:r>
        <w:t xml:space="preserve">Bear case</w:t>
      </w:r>
    </w:p>
    <w:p>
      <w:pPr>
        <w:pStyle w:val="Compact"/>
        <w:numPr>
          <w:ilvl w:val="0"/>
          <w:numId w:val="1009"/>
        </w:numPr>
      </w:pPr>
      <w:r>
        <w:t xml:space="preserve">Much of the data-center earnings upside is back-end loaded; the 370 MW agreement, for example, is expected to reach full load only by the end of 2030.</w:t>
      </w:r>
    </w:p>
    <w:p>
      <w:pPr>
        <w:pStyle w:val="Compact"/>
        <w:numPr>
          <w:ilvl w:val="0"/>
          <w:numId w:val="1009"/>
        </w:numPr>
      </w:pPr>
      <w:r>
        <w:t xml:space="preserve">New load requires major generation and transmission investment, increasing execution, regulatory, and financing risk.</w:t>
      </w:r>
    </w:p>
    <w:p>
      <w:pPr>
        <w:pStyle w:val="Compact"/>
        <w:numPr>
          <w:ilvl w:val="0"/>
          <w:numId w:val="1009"/>
        </w:numPr>
      </w:pPr>
      <w:r>
        <w:t xml:space="preserve">Share issuance will be necessary to fund the plan, limiting per-share upside if project timing slips.</w:t>
      </w:r>
    </w:p>
    <w:p>
      <w:pPr>
        <w:pStyle w:val="Compact"/>
        <w:numPr>
          <w:ilvl w:val="0"/>
          <w:numId w:val="1009"/>
        </w:numPr>
      </w:pPr>
      <w:r>
        <w:t xml:space="preserve">MISO accreditation changes or delayed customer construction could lead to underutilized assets or incremental capacity costs.</w:t>
      </w:r>
    </w:p>
    <w:p>
      <w:pPr>
        <w:pStyle w:val="Compact"/>
        <w:numPr>
          <w:ilvl w:val="0"/>
          <w:numId w:val="1009"/>
        </w:numPr>
      </w:pPr>
      <w:r>
        <w:t xml:space="preserve">Rising O&amp;M, depreciation, and interest expense may consume more of the benefit from rate-base growth than investors expect.</w:t>
      </w:r>
    </w:p>
    <w:bookmarkEnd w:id="19"/>
    <w:bookmarkEnd w:id="20"/>
    <w:bookmarkStart w:id="22" w:name="bottom-line"/>
    <w:p>
      <w:pPr>
        <w:pStyle w:val="Heading2"/>
      </w:pPr>
      <w:r>
        <w:t xml:space="preserve">Bottom line</w:t>
      </w:r>
    </w:p>
    <w:p>
      <w:pPr>
        <w:pStyle w:val="FirstParagraph"/>
      </w:pPr>
      <w:r>
        <w:rPr>
          <w:b/>
          <w:bCs/>
        </w:rPr>
        <w:t xml:space="preserve">The base-case 2Q outcome is another guidance reaffirmation, supported by capital-investment-driven utility earnings but moderated by higher financing, depreciation, and operating costs.</w:t>
      </w:r>
      <w:r>
        <w:t xml:space="preserve"> </w:t>
      </w:r>
      <w:r>
        <w:t xml:space="preserve">The more consequential issue is whether management can offer incremental evidence that its 3.4 GW of contracted data-center demand and 2–4 GW opportunity set will convert into regulated investment, on a schedule and under customer-rate structures that are clearly accretive to existing shareholders.</w:t>
      </w:r>
    </w:p>
    <w:p>
      <w:pPr>
        <w:pStyle w:val="BodyText"/>
      </w:pPr>
      <w:r>
        <w:t xml:space="preserve">For investors, the highest-value disclosures will concern</w:t>
      </w:r>
      <w:r>
        <w:t xml:space="preserve"> </w:t>
      </w:r>
      <w:r>
        <w:rPr>
          <w:b/>
          <w:bCs/>
        </w:rPr>
        <w:t xml:space="preserve">new service agreements, customer load ramps, regulatory milestones, early resource-plan details, and whether financing requirements remain within the existing framework</w:t>
      </w:r>
      <w:r>
        <w:t xml:space="preserve">. The quarterly EPS print matters—but the durability and economics of Alliant’s large-load strategy will likely drive the stock’s reaction.</w:t>
      </w:r>
    </w:p>
    <w:p>
      <w:r>
        <w:pict>
          <v:rect style="width:0;height:1.5pt" o:hralign="center" o:hrstd="t" o:hr="t"/>
        </w:pict>
      </w:r>
    </w:p>
    <w:bookmarkStart w:id="21" w:name="primary-materials-reviewed"/>
    <w:p>
      <w:pPr>
        <w:pStyle w:val="Heading3"/>
      </w:pPr>
      <w:r>
        <w:t xml:space="preserve">Primary materials reviewed</w:t>
      </w:r>
    </w:p>
    <w:p>
      <w:pPr>
        <w:pStyle w:val="Compact"/>
        <w:numPr>
          <w:ilvl w:val="0"/>
          <w:numId w:val="1010"/>
        </w:numPr>
      </w:pPr>
      <w:r>
        <w:t xml:space="preserve">Alliant Energy 1Q26 earnings release and 1Q26 earnings-call transcript</w:t>
      </w:r>
    </w:p>
    <w:p>
      <w:pPr>
        <w:pStyle w:val="Compact"/>
        <w:numPr>
          <w:ilvl w:val="0"/>
          <w:numId w:val="1010"/>
        </w:numPr>
      </w:pPr>
      <w:r>
        <w:t xml:space="preserve">Alliant Energy 1Q26 Form 10-Q</w:t>
      </w:r>
    </w:p>
    <w:p>
      <w:pPr>
        <w:pStyle w:val="Compact"/>
        <w:numPr>
          <w:ilvl w:val="0"/>
          <w:numId w:val="1010"/>
        </w:numPr>
      </w:pPr>
      <w:r>
        <w:t xml:space="preserve">Alliant Energy 2Q25 earnings release</w:t>
      </w:r>
    </w:p>
    <w:p>
      <w:pPr>
        <w:pStyle w:val="Compact"/>
        <w:numPr>
          <w:ilvl w:val="0"/>
          <w:numId w:val="1010"/>
        </w:numPr>
      </w:pPr>
      <w:r>
        <w:t xml:space="preserve">Alliant Energy’s July 7, 2026 announcement of its 2Q26 reporting schedule</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2026-07-29T20:00:14Z</dcterms:created>
  <dcterms:modified xsi:type="dcterms:W3CDTF">2026-07-29T20:00:14Z</dcterms:modified>
</cp:coreProperties>
</file>

<file path=docProps/custom.xml><?xml version="1.0" encoding="utf-8"?>
<Properties xmlns="http://schemas.openxmlformats.org/officeDocument/2006/custom-properties" xmlns:vt="http://schemas.openxmlformats.org/officeDocument/2006/docPropsVTypes"/>
</file>