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nt-earnings-predictions--2026-07-30"/>
    <w:p>
      <w:pPr>
        <w:pStyle w:val="Heading1"/>
      </w:pPr>
      <w:r>
        <w:t xml:space="preserve">LNT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Ongoing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~$0.60 vs. cons $0.585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New ESA / Pipeline Update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&gt;=1 new ESA announced; pipeline described as progressing well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 2026 EPS Guidance Reaffirmation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reaffirm</w:t>
            </w:r>
            <w:r>
              <w:t xml:space="preserve"> </w:t>
            </w:r>
            <m:oMath>
              <m:r>
                <m:t>3.40</m:t>
              </m:r>
              <m:r>
                <m:rPr>
                  <m:sty m:val="p"/>
                </m:rPr>
                <m:t>−</m:t>
              </m:r>
            </m:oMath>
            <w:r>
              <w:t xml:space="preserve">3.50 vs. cons $3.42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Ongoing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~$3.45 midpoint vs. cons $3.42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Pipeline / ESA Commentary (qualitative, 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&gt;=1 new ESA + Q3 resource plan tease vs. no new ESA expectation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H2 math (+14.7% above consensus H2) drives upward estimate revisions; elevated short base (28M shares, 12.75 DTC) amplifies any sustained positive price action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2026-08-02T02:01:00Z</dcterms:created>
  <dcterms:modified xsi:type="dcterms:W3CDTF">2026-08-02T02:01:00Z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