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Alliant Energy Corporation (LNT)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Alliant Energy Corporation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LNT (NASDAQ)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Reporting Period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Q2 2026 (quarter ended June 30, 2026)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Earnings Release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30, 2026 — After Market Close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Conference Call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31, 2026 — 9:00 AM CT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/>
                <w:b/>
                <w:sz w:val="22"/>
              </w:rPr>
              <w:t>Prepared</w:t>
            </w:r>
          </w:p>
        </w:tc>
        <w:tc>
          <w:tcPr>
            <w:tcW w:type="dxa" w:w="4320"/>
          </w:tcPr>
          <w:p>
            <w:r>
              <w:rPr>
                <w:rFonts w:ascii="Calibri" w:hAnsi="Calibri"/>
                <w:sz w:val="22"/>
              </w:rPr>
              <w:t>July 30, 2026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Setup is modestly constructive — consensus EPS bar is low relative to the prior-year comp and management's reaffirmed guidance, but the real swing factor is whether LNT announces a new data center ESA or provides incremental pipeline color that advances the Q3 resource plan refresh narrative.</w:t>
      </w:r>
    </w:p>
    <w:p>
      <w:r>
        <w:rPr>
          <w:rFonts w:ascii="Calibri" w:hAnsi="Calibri"/>
          <w:color w:val="525866"/>
          <w:sz w:val="22"/>
        </w:rPr>
        <w:t xml:space="preserve">Heading into Q2 2026, the bar for LNT is manageable: consensus ongoing EPS of </w:t>
      </w:r>
      <w:r>
        <w:rPr>
          <w:rFonts w:ascii="Calibri" w:hAnsi="Calibri"/>
          <w:b/>
          <w:color w:val="525866"/>
          <w:sz w:val="22"/>
        </w:rPr>
        <w:t>$0.58</w:t>
      </w:r>
      <w:r>
        <w:rPr>
          <w:rFonts w:ascii="Calibri" w:hAnsi="Calibri"/>
          <w:color w:val="525866"/>
          <w:sz w:val="22"/>
        </w:rPr>
        <w:t xml:space="preserve"> sits well below the $0.68 reported in Q2 2025, reflecting a seasonally lighter quarter and the dilutive effect of equity issuance, but management reaffirmed full-year 2026 guidance of approximately </w:t>
      </w:r>
      <w:r>
        <w:rPr>
          <w:rFonts w:ascii="Calibri" w:hAnsi="Calibri"/>
          <w:b/>
          <w:color w:val="525866"/>
          <w:sz w:val="22"/>
        </w:rPr>
        <w:t>$3.42 ongoing EPS</w:t>
      </w:r>
      <w:r>
        <w:rPr>
          <w:rFonts w:ascii="Calibri" w:hAnsi="Calibri"/>
          <w:color w:val="525866"/>
          <w:sz w:val="22"/>
        </w:rPr>
        <w:t xml:space="preserve"> on the Q1 call and has given no indication of a guidance change since. Estimate revisions have been modestly negative since the Q1 print — the 2026 FY consensus has barely moved ($3.42 vs. $3.42 at the post-Q1 baseline) — suggesting the Street is not pricing in incremental upside from the pipeline, which creates </w:t>
      </w:r>
      <w:r>
        <w:rPr>
          <w:rFonts w:ascii="Calibri" w:hAnsi="Calibri"/>
          <w:b/>
          <w:color w:val="525866"/>
          <w:sz w:val="22"/>
        </w:rPr>
        <w:t>asymmetric upside risk</w:t>
      </w:r>
      <w:r>
        <w:rPr>
          <w:rFonts w:ascii="Calibri" w:hAnsi="Calibri"/>
          <w:color w:val="525866"/>
          <w:sz w:val="22"/>
        </w:rPr>
        <w:t xml:space="preserve"> if LNT announces a new ESA or advances the 2–4 GW pipeline. The stock has underperformed both XLU (−1.9% vs. −4.1% for XLU since April 30) and the S&amp;P 500 (+1.5%), trading back near the $72 level, which implies the market has not yet priced in the Q3 resource plan refresh that management explicitly flagged as a potential capital plan expansion catalyst. The </w:t>
      </w:r>
      <w:r>
        <w:rPr>
          <w:rFonts w:ascii="Calibri" w:hAnsi="Calibri"/>
          <w:b/>
          <w:color w:val="525866"/>
          <w:sz w:val="22"/>
        </w:rPr>
        <w:t>key wildcard</w:t>
      </w:r>
      <w:r>
        <w:rPr>
          <w:rFonts w:ascii="Calibri" w:hAnsi="Calibri"/>
          <w:color w:val="525866"/>
          <w:sz w:val="22"/>
        </w:rPr>
        <w:t xml:space="preserve"> is a new ESA announcement — management committed to announcing new agreements on a quarterly basis, and any incremental contracted demand beyond the current 3.4 GW would be a meaningful positive read-through for the 7%+ EPS CAGR target through 2029.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Consensus sets a low bar on EPS ($0.58 vs. $0.68 in Q2 2025), with the bigger swing factor being any new data center ESA announcement or pipeline update rather than the financial print itself. Revenue consensus of ~$974M is also below the prior-year $961M, leaving room for a beat on both lines.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 (Last Quarter)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FY 2026 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 delta)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Ongoing EPS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$0.87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$0.68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$0.58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−14.7%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$3.42 midpoint (FY)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Q2 cons. = ~17% of FY guide midpoint; on track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$1,184M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$961M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$974M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$4,417M (FY cons.)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 quarterly revenue guidance provided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Capital Expenditures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$414M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$483M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$843M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+74.5%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$3,203M (FY cons.)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— no quarterly CapEx guidance provided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Visible Alpha Consensus and Actuals Data. Ongoing EPS is the primary valuation KPI; GAAP EPS for Q2 2025 was $0.68 and Q1 2026 was $0.87. FY 2026 guidance midpoint of ~$3.42 reaffirmed on Q1 2026 earnings call (April 30, 2026).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pPr>
        <w:pStyle w:val="Heading4"/>
      </w:pPr>
      <w:r>
        <w:rPr>
          <w:rFonts w:ascii="Calibri" w:hAnsi="Calibri"/>
          <w:b/>
          <w:color w:val="3B4259"/>
          <w:sz w:val="22"/>
        </w:rPr>
        <w:t>Ongoing EPS ($)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$0.57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−6.4%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$1.15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$1.10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+4.5%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+37.5%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Large 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+23.9%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+11.5%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$1.12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$1.19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−5.9%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$0.58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+3.4%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+10.1%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pPr>
        <w:pStyle w:val="Heading4"/>
      </w:pPr>
      <w:r>
        <w:rPr>
          <w:rFonts w:ascii="Calibri" w:hAnsi="Calibri"/>
          <w:b/>
          <w:color w:val="3B4259"/>
          <w:sz w:val="22"/>
        </w:rPr>
        <w:t>Total Revenue ($M)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$894M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$896M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−0.2%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 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$1,081M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$1,211M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−10.7%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$975M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$1,087M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−10.3%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$1,128M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$1,002M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+12.6%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$961M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$913M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+5.3%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$1,210M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$1,129M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+7.2%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$1,064M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$854M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+24.6%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$1,184M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$1,117M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+6.0%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LNT has beaten ongoing EPS consensus in 6 of the last 8 quarters, with the two misses (Q2 2024 and Q3 2025) driven by weather headwinds; revenue beats have been consistent in recent quarters as data center load ramps. 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Guidance is unchanged since the Q1 2026 earnings call — management reaffirmed FY 2026 ongoing EPS guidance and the 7%+ CAGR through 2029, with tone remaining confident and forward-looking. No post-earnings guidance revisions have been issued.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Apr 30,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Ongoing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Reaffirmed; midpoint ~$3.42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$3.42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guidance reaffirmed on Q1 call despite mild Q1 temperatures; tone confident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Long-Term EPS CAGR (2027–2029)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7%+ CAGR off 2025 base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$3.68 (FY 2027 cons.)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management noted potential upside as data center pipeline converts; Q3 resource plan refresh expected to reflect incremental load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Contracted Data Center Demand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~3.4 GW (5 executed ESAs)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— not a consensus KPI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New 370 MW ESA announced in April; management committed to quarterly ESA announcements; 2–4 GW pipeline in active negotiations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CapEx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~$3.2B (4-year plan funded)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$3,203M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Q3 resource plan refresh may expand capital plan; equity needs through 2027 already secured via forward agreements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Iowa Regulatory Posture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retail electric base rate reviews through end of decade; IUC approved 1 GW wind at 9.8% ROE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Constructive; individual customer rate applications expected for QTS DC #2 and new 370 MW ESA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Estimates have been essentially flat since the Q1 2026 print — FY 2026 EPS consensus is unchanged at $3.42 and Q2 2026 EPS has drifted slightly lower ($0.71 → $0.58), suggesting the Street is not yet embedding pipeline upside. The gap between current consensus and the 7%+ growth trajectory represents potential upside if Q3 resource plan expansion materializes.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Q1 Earnings (as of May 6,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Ongoing EPS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$0.71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$0.58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−18.3%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Ongoing EPS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$3.42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$3.42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~$3.42 midpoint (reaffirmed)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~$3.42 midpoint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~0%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Ongoing EPS — FY 2027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$3.67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$3.68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7%+ CAGR off 2025 base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7%+ CAGR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Tracking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$990M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$974M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−1.6%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quarterly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$4,359M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$4,417M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FY revenue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FY revenue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CapEx — FY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$3,119M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$3,203M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~$3.2B (4-year plan)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~$3.2B (unchanged)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~+2.7% above baseline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 Q2 2026 EPS estimate drift lower (−18% since the post-Q1 baseline) likely reflects seasonal modeling adjustments and dilution from equity issuance rather than fundamental deterioration — FY 2026 consensus is flat, confirming the Street sees Q2 as a pass-through quarter. The Q3 resource plan refresh (expected at Q3 earnings and EEI) is the next major catalyst for estimate revision. 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LNT has modestly outperformed XLU (−1.9% vs. −4.1%) since the Q1 2026 earnings date (April 30, 2026) but lagged the S&amp;P 500 (+1.5%), with the relative outperformance vs. the utility sector driven by data center pipeline sentiment rather than estimate revisions, which have been flat.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LNT vs. XLU (Utilities Select Sector ETF) vs. S&amp;P 500 (SPY) — Indexed to 100 at Q1 2026 Earnings Date (April 30, 2026). Source: Stock Price Data.</w:t>
      </w:r>
    </w:p>
    <w:p>
      <w:r>
        <w:rPr>
          <w:rFonts w:ascii="Calibri" w:hAnsi="Calibri"/>
          <w:b/>
          <w:color w:val="525866"/>
          <w:sz w:val="22"/>
        </w:rPr>
        <w:t xml:space="preserve">Sector ETF: </w:t>
      </w:r>
      <w:r>
        <w:rPr>
          <w:rFonts w:ascii="Calibri" w:hAnsi="Calibri"/>
          <w:color w:val="525866"/>
          <w:sz w:val="22"/>
        </w:rPr>
        <w:t>XLU (Utilities Select Sector SPDR ETF) — appropriate benchmark for LNT as a regulated electric and gas utility. LNT's relative outperformance vs. XLU reflects the market's premium for its data center growth story. The stock rallied from ~$72 to a peak of ~$78 in late June/early July (driven by continued data center pipeline momentum and constructive regulatory outcomes in Iowa), before pulling back to ~$72 ahead of the Q2 print. Material events marked: NEE/Dominion merger announcement (May 18, 2026), ETR Investor Day (June 9, 2026), and LNT Q2 earnings date announcement (July 7, 2026).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Peer Commentaries — Read-Through (Last 60 Days, Q2 2026)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Peers reporting Q2 2026 results (DTE, NEE, ETR, FE, WEC, CMS, CNP) and ETR’s June Investor Day collectively validate LNT’s data center growth thesis — contracted demand is accelerating industry-wide, regulatory frameworks are becoming more constructive, and the “fair share” tariff model is gaining legislative support. The read-through is </w:t>
      </w:r>
      <w:r>
        <w:rPr>
          <w:rFonts w:ascii="Calibri" w:hAnsi="Calibri"/>
          <w:b/>
          <w:color w:val="525866"/>
          <w:sz w:val="22"/>
        </w:rPr>
        <w:t>positive for LNT’s pipeline conversion narrative</w:t>
      </w:r>
      <w:r>
        <w:rPr>
          <w:rFonts w:ascii="Calibri" w:hAnsi="Calibri"/>
          <w:color w:val="525866"/>
          <w:sz w:val="22"/>
        </w:rPr>
        <w:t xml:space="preserve"> and the Q3 resource plan refresh.</w:t>
      </w:r>
    </w:p>
    <w:p>
      <w:r>
        <w:rPr>
          <w:rFonts w:ascii="Calibri" w:hAnsi="Calibri"/>
          <w:b/>
          <w:color w:val="525866"/>
          <w:sz w:val="22"/>
        </w:rPr>
        <w:t xml:space="preserve">Note: </w:t>
      </w:r>
      <w:r>
        <w:rPr>
          <w:rFonts w:ascii="Calibri" w:hAnsi="Calibri"/>
          <w:color w:val="525866"/>
          <w:sz w:val="22"/>
        </w:rPr>
        <w:t>Only Q2 2026 earnings calls and the ETR June 2026 Investor Day are included below. Q1 2026 peer earnings calls (which reported on prior-quarter results) are excluded per the user’s instruction.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Theme 1: Data Center Demand Acceleration — Industry-Wide Validation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FirstEnergy (FE) — Q2 2026 Earnings (July 29, 2026): </w:t>
      </w:r>
      <w:r>
        <w:rPr>
          <w:rFonts w:ascii="Calibri" w:hAnsi="Calibri"/>
          <w:color w:val="525866"/>
          <w:sz w:val="22"/>
        </w:rPr>
        <w:t xml:space="preserve">Total forecasted data center demand surged 30% since Q1 to ~25 GW; FE contracted 2.1 GW in Q2 alone, bringing total contracted demand to 6.4 GW.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Validates that hyperscaler demand is accelerating broadly, supporting LNT’s 2–4 GW pipeline conversion thesis. FE’s rapid contracting pace suggests LNT’s pipeline could convert faster than the market expects.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Entergy (ETR) — Q2 2026 Earnings (July 29, 2026) &amp; Investor Day (June 9, 2026): </w:t>
      </w:r>
      <w:r>
        <w:rPr>
          <w:rFonts w:ascii="Calibri" w:hAnsi="Calibri"/>
          <w:color w:val="525866"/>
          <w:sz w:val="22"/>
        </w:rPr>
        <w:t xml:space="preserve">Pipeline of 7–12 GW of hyperscale data center potential (probability-weighted; actual queue is “much, much greater”); Meta undertaking a 5 GW infrastructure project in Louisiana; ESA backlog has nearly doubled in two years. Demand increasingly for larger “super clusters” for AI workloads.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The shift toward larger-scale AI clusters is directly relevant to LNT’s hyperscale ESA strategy; ETR’s experience with 5 GW-scale projects validates LNT’s 3.4 GW contracted base as a credible starting point, not a ceiling.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NextEra Energy (NEE) — Q2 2026 Earnings (July 24, 2026): </w:t>
      </w:r>
      <w:r>
        <w:rPr>
          <w:rFonts w:ascii="Calibri" w:hAnsi="Calibri"/>
          <w:color w:val="525866"/>
          <w:sz w:val="22"/>
        </w:rPr>
        <w:t xml:space="preserve">FPL updated large load expectation from 6 GW to 8 GW by 2032; currently has ~21 GW of large load interest with 12 GW in advanced discussions.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NEE’s upward revision to its large load forecast (from 6 to 8 GW) is a direct positive read-through for LNT’s 2–4 GW incremental pipeline — if the largest utility in the country is raising its load forecast, LNT’s pipeline conversion is more likely, not less.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DTE Energy (DTE) — Q2 2026 Earnings (July 28, 2026): </w:t>
      </w:r>
      <w:r>
        <w:rPr>
          <w:rFonts w:ascii="Calibri" w:hAnsi="Calibri"/>
          <w:color w:val="525866"/>
          <w:sz w:val="22"/>
        </w:rPr>
        <w:t xml:space="preserve">2.4 GW of executed agreements (Oracle 1.4 GW + Google 1 GW); 5–6 GW of additional opportunities including ~2 GW in advanced discussions; targeting an additional agreement by end of 2026.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DTE’s target of closing an additional agreement by year-end 2026 is consistent with LNT’s quarterly ESA announcement cadence; the “zoning first and foremost” bottleneck DTE cited is less relevant for LNT given its Iowa land-ownership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WEC Energy (WEC) — Q2 2026 Earnings (July 29, 2026): </w:t>
      </w:r>
      <w:r>
        <w:rPr>
          <w:rFonts w:ascii="Calibri" w:hAnsi="Calibri"/>
          <w:color w:val="525866"/>
          <w:sz w:val="22"/>
        </w:rPr>
        <w:t xml:space="preserve">Preparing to serve 2.6 GW from Microsoft through 2030; Vantage/Oracle site forecast at 1.3 GW over 5 years with potential to reach 3.5 GW. Customers signed up for “all of the above” approach (renewables, batteries, natural gas).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WEC’s Wisconsin data center growth is directly relevant to LNT’s Wisconsin strategy; WEC’s success with Microsoft and Oracle in the same state validates LNT’s Wisconsin pipeline despite community/regulatory headwinds.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CenterPoint Energy (CNP) — Q2 2026 Earnings (July 28, 2026): </w:t>
      </w:r>
      <w:r>
        <w:rPr>
          <w:rFonts w:ascii="Calibri" w:hAnsi="Calibri"/>
          <w:color w:val="525866"/>
          <w:sz w:val="22"/>
        </w:rPr>
        <w:t xml:space="preserve">Submitted 17+ GW of large load projects to ERCOT; 14 GW eligible for “batch zero” process (65% increase over current system peak); $800M capital plan increase to support targeted system upgrades.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CNP’s $800M capital plan increase driven by large load is a direct analog for LNT’s expected Q3 capital plan expansion; validates that data center load translates into incremental CapEx and rate base growth.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CMS Energy (CMS) — Q2 2026 Earnings (July 28, 2026): </w:t>
      </w:r>
      <w:r>
        <w:rPr>
          <w:rFonts w:ascii="Calibri" w:hAnsi="Calibri"/>
          <w:color w:val="525866"/>
          <w:sz w:val="22"/>
        </w:rPr>
        <w:t xml:space="preserve">Reached large load tariff agreement with “more than one customer in more than one location”; estimates $7.50/month residential bill benefit per GW of new large load; IRP filing expected in September.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CMS’s customer bill benefit framing ($7.50/month per GW) is consistent with LNT’s Iowa regulatory construct where data center load supports rate stability; validates the “fair share” model that LNT relies on for regulatory support.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Theme 2: Regulatory Frameworks — “Fair Share” Tariffs Gaining Momentum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ETR (Investor Day, June 9, 2026): </w:t>
      </w:r>
      <w:r>
        <w:rPr>
          <w:rFonts w:ascii="Calibri" w:hAnsi="Calibri"/>
          <w:color w:val="525866"/>
          <w:sz w:val="22"/>
        </w:rPr>
        <w:t xml:space="preserve">Louisiana governor signed executive order ensuring data centers pay full cost to serve plus fixed cost share; ETR’s “Fair Share Plus” pledge expected to generate $7B in customer bill benefits over 15–20-year contract lives.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State-level legislative support for fair-share tariffs is expanding beyond Florida (NEE) and Louisiana (ETR) — positive for LNT’s Iowa regulatory construct and potential Wisconsin tariff development.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NEE (Q2 2026 Earnings, July 24, 2026): </w:t>
      </w:r>
      <w:r>
        <w:rPr>
          <w:rFonts w:ascii="Calibri" w:hAnsi="Calibri"/>
          <w:color w:val="525866"/>
          <w:sz w:val="22"/>
        </w:rPr>
        <w:t xml:space="preserve">Florida governor signed bill codifying FPL’s large load tariff into law; NEE and Dominion announced support for White House’s Ratepayer Protection Pledge.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Federal-level ratepayer protection framework gaining traction is a tailwind for LNT’s Iowa individual customer rate construct, which already embeds the “fair share” principle.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WEC (Q2 2026 Earnings, July 29, 2026): </w:t>
      </w:r>
      <w:r>
        <w:rPr>
          <w:rFonts w:ascii="Calibri" w:hAnsi="Calibri"/>
          <w:color w:val="525866"/>
          <w:sz w:val="22"/>
        </w:rPr>
        <w:t xml:space="preserve">PSC provided written order for Very Large Customer (VLC) tariff; tariff ensures VLCs pay “full share of the cost” with stringent collateral requirements to prevent stranded assets.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WEC’s Wisconsin VLC tariff approval is directly relevant to LNT’s Wisconsin data center strategy — a constructive regulatory framework in the same state reduces the risk that Wisconsin community/regulatory pushback derails LNT’s pipeline.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Theme 3: Generation Mix — Simple Cycle CTs + Batteries Validated as the Right Strategy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ETR (Investor Day, June 9, 2026): </w:t>
      </w:r>
      <w:r>
        <w:rPr>
          <w:rFonts w:ascii="Calibri" w:hAnsi="Calibri"/>
          <w:color w:val="525866"/>
          <w:sz w:val="22"/>
        </w:rPr>
        <w:t xml:space="preserve">Plans 30 GW of new/repowered resources over 10 years; CCGTs are the majority given cost advantages; also pursuing CCS and new nuclear.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ETR’s CCGT-heavy strategy validates LNT’s decision to contract for up to 1.1 GW of simple cycle CT (with optionality to convert to combined cycle) — the industry is converging on gas as the reliability backbone for data center load.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WEC (Q2 2026 Earnings, July 29, 2026): </w:t>
      </w:r>
      <w:r>
        <w:rPr>
          <w:rFonts w:ascii="Calibri" w:hAnsi="Calibri"/>
          <w:color w:val="525866"/>
          <w:sz w:val="22"/>
        </w:rPr>
        <w:t xml:space="preserve">May pursue a combined cycle plant for future needs if energy demand exceeds capacity needs; new natural gas facilities under construction in Paris and Oak Creek, WI (expected online late 2027).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WEC’s consideration of combined cycle (vs. simple cycle) mirrors LNT’s optionality on its 1.1 GW CT contract — both companies are preserving flexibility to upsize generation as data center energy demand becomes clearer.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NEE/Dominion Merger Call (May 18, 2026): </w:t>
      </w:r>
      <w:r>
        <w:rPr>
          <w:rFonts w:ascii="Calibri" w:hAnsi="Calibri"/>
          <w:color w:val="525866"/>
          <w:sz w:val="22"/>
        </w:rPr>
        <w:t xml:space="preserve">Combined company targeting $59B annual CapEx from 2027–2032; “speed to power is critical”; 130+ GW large load pipeline; Virginia battery storage opportunity highlighted. </w:t>
      </w:r>
      <w:r>
        <w:rPr>
          <w:rFonts w:ascii="Calibri" w:hAnsi="Calibri"/>
          <w:i/>
          <w:color w:val="525866"/>
          <w:sz w:val="22"/>
        </w:rPr>
        <w:t xml:space="preserve">Read-through for LNT: </w:t>
      </w:r>
      <w:r>
        <w:rPr>
          <w:rFonts w:ascii="Calibri" w:hAnsi="Calibri"/>
          <w:color w:val="525866"/>
          <w:sz w:val="22"/>
        </w:rPr>
        <w:t>The NEE/D merger creates a dominant large-load utility platform — while not a direct competitor in Iowa/Wisconsin, the deal validates the structural shift toward utility-led data center power solutions and may accelerate hyperscaler demand for LNT’s “plug-and-ready” Iowa sites.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The most important development since the Q1 2026 earnings call is the industry-wide acceleration in data center contracting by peers, which validates LNT’s pipeline and raises the probability of a new ESA announcement at Q2 earnings — the single biggest potential positive catalyst for the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30, 2026 — Q1 2026 Earnings: New 370 MW ESA Signed in Iowa. </w:t>
      </w:r>
      <w:r>
        <w:rPr>
          <w:rFonts w:ascii="Calibri" w:hAnsi="Calibri"/>
          <w:color w:val="525866"/>
          <w:sz w:val="22"/>
        </w:rPr>
        <w:t xml:space="preserve">LNT executed a new 370 MW hyperscale ESA in Iowa (full load ramp by end of 2030), bringing total contracted demand to ~3.4 GW across 5 agreements. Contracted with a third party to build a simple cycle CT of up to 1.1 GW (in-service 2031). New Iowa docket filed for a separate 720 MW natural gas CT.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Sets up Q2 as a potential ESA announcement quarter; management committed to quarterly ESA disclosures.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30, 2026 — Q1 2026 Earnings: Q3 Resource Plan Refresh Flagged as Capital Plan Expansion Catalyst. </w:t>
      </w:r>
      <w:r>
        <w:rPr>
          <w:rFonts w:ascii="Calibri" w:hAnsi="Calibri"/>
          <w:color w:val="525866"/>
          <w:sz w:val="22"/>
        </w:rPr>
        <w:t xml:space="preserve">Management explicitly guided that the Q3 earnings call and EEI conference will feature a full resource plan update reflecting incremental load beyond the 3 GW already in the plan and updated MISO accreditation assumptions.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Q3 is the next major catalyst; Q2 is a setup quarter. Any incremental ESA or pipeline update at Q2 would pull forward the positive narrative.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30, 2026 — Iowa IUC Approved 1 GW Wind Settlement at 9.8% ROE. </w:t>
      </w:r>
      <w:r>
        <w:rPr>
          <w:rFonts w:ascii="Calibri" w:hAnsi="Calibri"/>
          <w:color w:val="525866"/>
          <w:sz w:val="22"/>
        </w:rPr>
        <w:t xml:space="preserve">Constructive regulatory outcome for advanced rate-making principles for up to 1 GW of new wind generation.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Confirms Iowa’s regulatory framework remains supportive of LNT’s capital deployment; reduces regulatory risk for the wind component of the generation mix.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30, 2026 — S&amp;P Upgraded IPL Credit Rating. </w:t>
      </w:r>
      <w:r>
        <w:rPr>
          <w:rFonts w:ascii="Calibri" w:hAnsi="Calibri"/>
          <w:color w:val="525866"/>
          <w:sz w:val="22"/>
        </w:rPr>
        <w:t xml:space="preserve">S&amp;P upgraded Interstate Power and Light (Iowa subsidiary) credit rating.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Reduces financing costs and supports LNT’s ability to fund the accelerating capital plan at favorable rates.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April 30, 2026 — WPL Data Center ESA Terminated and Renegotiated as IPL Agreement. </w:t>
      </w:r>
      <w:r>
        <w:rPr>
          <w:rFonts w:ascii="Calibri" w:hAnsi="Calibri"/>
          <w:color w:val="525866"/>
          <w:sz w:val="22"/>
        </w:rPr>
        <w:t xml:space="preserve">A previously executed Wisconsin data center ESA was terminated and renegotiated as an Iowa agreement after the customer selected an alternative Iowa location.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Demonstrates LNT’s operational agility and Iowa’s competitive advantage; also highlights Wisconsin execution risk as a real but manageable factor.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18, 2026 — NextEra Energy / Dominion Energy Merger Announced. </w:t>
      </w:r>
      <w:r>
        <w:rPr>
          <w:rFonts w:ascii="Calibri" w:hAnsi="Calibri"/>
          <w:color w:val="525866"/>
          <w:sz w:val="22"/>
        </w:rPr>
        <w:t xml:space="preserve">NEE and Dominion announced a merger creating a dominant large-load utility platform with a 130+ GW large load pipeline and $59B annual CapEx target (2027–2032).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Validates the structural shift toward utility-led data center power; may accelerate hyperscaler demand for LNT’s Iowa sites as the combined NEE/D entity focuses on its core geographies (FL, VA, SC, NC).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9, 2026 — Entergy Investor Day: 7–12 GW Data Center Pipeline Disclosed. </w:t>
      </w:r>
      <w:r>
        <w:rPr>
          <w:rFonts w:ascii="Calibri" w:hAnsi="Calibri"/>
          <w:color w:val="525866"/>
          <w:sz w:val="22"/>
        </w:rPr>
        <w:t xml:space="preserve">ETR disclosed a 7–12 GW probability-weighted hyperscale pipeline (actual queue “much, much greater”) and $7B in expected customer bill benefits from Fair Share Plus agreements.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Peer validation of LNT’s pipeline scale and fair-share tariff model; ETR’s Louisiana executive order on data center cost allocation is a positive regulatory precedent.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7, 2026 — LNT Announced Q2 Earnings Date (July 30, After Close; Call July 31 at 9 AM CT). </w:t>
      </w:r>
      <w:r>
        <w:rPr>
          <w:rFonts w:ascii="Calibri" w:hAnsi="Calibri"/>
          <w:color w:val="525866"/>
          <w:sz w:val="22"/>
        </w:rPr>
        <w:t xml:space="preserve">Formal earnings date announcement.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No pre-announcement or guidance update was issued alongside the date announcement — consistent with management’s posture of no intra-quarter guidance changes.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24–29, 2026 — Peer Q2 Earnings Broadly Positive on Data Center Demand. </w:t>
      </w:r>
      <w:r>
        <w:rPr>
          <w:rFonts w:ascii="Calibri" w:hAnsi="Calibri"/>
          <w:color w:val="525866"/>
          <w:sz w:val="22"/>
        </w:rPr>
        <w:t xml:space="preserve">DTE (2.4 GW executed + 5–6 GW pipeline), NEE (8 GW FPL large load by 2032), FE (6.4 GW contracted, +30% since Q1), WEC (2.6 GW Microsoft + 1.3 GW Oracle/Vantage), CMS (new large load tariff agreement), CNP ($800M CapEx increase for 14 GW batch zero projects).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Broad peer validation of LNT’s data center thesis; no peer has reported negative demand signals or regulatory setbacks that would read through negatively to LNT.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>No open-market buys or sells by insiders since the Q1 2026 earnings call. The only Form 4 activity consists of routine director deferred compensation unit grants (transaction code “A” — award/acquisition) — not discretionary open-market transactions. Nothing notable to flag.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Security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Units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Patrick E. Allen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491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Manu Asthana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998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Ignacio A. Cortina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638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Stephanie Cox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524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Nancy Joy Falotico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744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Michael Dennis Garcia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838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Roger K. Newport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736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Christie Raymond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Award (Code A)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Deferred Common Stock Units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998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Jul 10,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Routine director deferred compensation; not an open-market transaction</w:t>
            </w:r>
          </w:p>
        </w:tc>
      </w:tr>
    </w:tbl>
    <w:p>
      <w:r>
        <w:rPr>
          <w:rFonts w:ascii="Calibri" w:hAnsi="Calibri"/>
          <w:color w:val="525866"/>
          <w:sz w:val="22"/>
        </w:rPr>
        <w:t xml:space="preserve">All Form 4 filings (filed July 14, 2026) reflect routine director deferred compensation unit grants (transaction code “A” — award/acquisition), not open-market purchases or sales. There are </w:t>
      </w:r>
      <w:r>
        <w:rPr>
          <w:rFonts w:ascii="Calibri" w:hAnsi="Calibri"/>
          <w:b/>
          <w:color w:val="525866"/>
          <w:sz w:val="22"/>
        </w:rPr>
        <w:t>no discretionary open-market buys or sells</w:t>
      </w:r>
      <w:r>
        <w:rPr>
          <w:rFonts w:ascii="Calibri" w:hAnsi="Calibri"/>
          <w:color w:val="525866"/>
          <w:sz w:val="22"/>
        </w:rPr>
        <w:t xml:space="preserve"> by any insider (officers or directors) since the Q1 2026 earnings call. The absence of insider selling ahead of the print is a mild positive signal. Source: SEC Form 4 Filings Database.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