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Alliant Energy Corporation (LNT)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Alliant Energy Corporation</w:t>
            </w:r>
          </w:p>
        </w:tc>
      </w:tr>
      <w:tr>
        <w:tc>
          <w:tcPr>
            <w:tcW w:type="dxa" w:w="4320"/>
          </w:tcPr>
          <w:p>
            <w:r>
              <w:rPr>
                <w:rFonts w:ascii="Calibri" w:hAnsi="Calibri"/>
                <w:b/>
                <w:sz w:val="22"/>
              </w:rPr>
              <w:t>Ticker</w:t>
            </w:r>
          </w:p>
        </w:tc>
        <w:tc>
          <w:tcPr>
            <w:tcW w:type="dxa" w:w="4320"/>
          </w:tcPr>
          <w:p>
            <w:r>
              <w:rPr>
                <w:rFonts w:ascii="Calibri" w:hAnsi="Calibri"/>
                <w:sz w:val="22"/>
              </w:rPr>
              <w:t>LNT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Release Date</w:t>
            </w:r>
          </w:p>
        </w:tc>
        <w:tc>
          <w:tcPr>
            <w:tcW w:type="dxa" w:w="4320"/>
          </w:tcPr>
          <w:p>
            <w:r>
              <w:rPr>
                <w:rFonts w:ascii="Calibri" w:hAnsi="Calibri"/>
                <w:sz w:val="22"/>
              </w:rPr>
              <w:t>July 30, 2026 (after market close)</w:t>
            </w:r>
          </w:p>
        </w:tc>
      </w:tr>
      <w:tr>
        <w:tc>
          <w:tcPr>
            <w:tcW w:type="dxa" w:w="4320"/>
          </w:tcPr>
          <w:p>
            <w:r>
              <w:rPr>
                <w:rFonts w:ascii="Calibri" w:hAnsi="Calibri"/>
                <w:b/>
                <w:sz w:val="22"/>
              </w:rPr>
              <w:t>Conference Call Date</w:t>
            </w:r>
          </w:p>
        </w:tc>
        <w:tc>
          <w:tcPr>
            <w:tcW w:type="dxa" w:w="4320"/>
          </w:tcPr>
          <w:p>
            <w:r>
              <w:rPr>
                <w:rFonts w:ascii="Calibri" w:hAnsi="Calibri"/>
                <w:sz w:val="22"/>
              </w:rPr>
              <w:t>July 31, 2026 at 9:00 a.m. CT</w:t>
            </w:r>
          </w:p>
        </w:tc>
      </w:tr>
      <w:tr>
        <w:tc>
          <w:tcPr>
            <w:tcW w:type="dxa" w:w="4320"/>
          </w:tcPr>
          <w:p>
            <w:r>
              <w:rPr>
                <w:rFonts w:ascii="Calibri" w:hAnsi="Calibri"/>
                <w:b/>
                <w:sz w:val="22"/>
              </w:rPr>
              <w:t>Preparation Date</w:t>
            </w:r>
          </w:p>
        </w:tc>
        <w:tc>
          <w:tcPr>
            <w:tcW w:type="dxa" w:w="4320"/>
          </w:tcPr>
          <w:p>
            <w:r>
              <w:rPr>
                <w:rFonts w:ascii="Calibri" w:hAnsi="Calibri"/>
                <w:sz w:val="22"/>
              </w:rPr>
              <w:t>July 29, 2026</w:t>
            </w:r>
          </w:p>
        </w:tc>
      </w:tr>
      <w:tr>
        <w:tc>
          <w:tcPr>
            <w:tcW w:type="dxa" w:w="4320"/>
          </w:tcPr>
          <w:p>
            <w:r>
              <w:rPr>
                <w:rFonts w:ascii="Calibri" w:hAnsi="Calibri"/>
                <w:b/>
                <w:sz w:val="22"/>
              </w:rPr>
              <w:t>Sector / Sub-Sector</w:t>
            </w:r>
          </w:p>
        </w:tc>
        <w:tc>
          <w:tcPr>
            <w:tcW w:type="dxa" w:w="4320"/>
          </w:tcPr>
          <w:p>
            <w:r>
              <w:rPr>
                <w:rFonts w:ascii="Calibri" w:hAnsi="Calibri"/>
                <w:sz w:val="22"/>
              </w:rPr>
              <w:t>Utilities — Regulated Electric (Iowa &amp; Wisconsin)</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broadly in-line with a modest beat potential, with the primary swing factor being the pace of data center load ramp and any incremental pipeline announcements that could signal upside to the Q3 resource plan refresh.</w:t>
      </w:r>
    </w:p>
    <w:p>
      <w:r>
        <w:rPr>
          <w:rFonts w:ascii="Calibri" w:hAnsi="Calibri"/>
          <w:color w:val="525866"/>
          <w:sz w:val="22"/>
        </w:rPr>
        <w:t>Heading into Q2 2026, the bar for LNT appears achievable but not particularly low. Consensus ongoing EPS sits at $0.585 for the quarter — a step-down from the $0.692 estimate that prevailed immediately after Q1 earnings, reflecting a notable downward revision in mid-to-late July (likely driven by weather normalization assumptions and seasonal patterns). Management reaffirmed full-year 2026 guidance on the Q1 call and has given no indication of a guidance change since, leaving the tone constructive and unchanged. Estimate revisions have been modestly negative in the final weeks before the print, with the Q2 consensus slipping from $0.692 to $0.585 between early May and late July, though the full-year 2026 consensus of $3.42 has been remarkably stable — suggesting the street views the Q2 softness as timing rather than structural. The stock has pulled back roughly 6.7% over the past month (from ~$77 to ~$72), underperforming both XLU and the S&amp;P 500 in that window, which may reflect some de-risking ahead of the print rather than a fundamental re-rating. The single biggest wildcard is the Q3 resource plan refresh: management explicitly flagged on the Q1 call that the Q3 update will incorporate incremental load beyond the 3 GW already in the plan and updated MISO accreditation assumptions — any early signal on the magnitude of that upside, or a new ESA announcement, could be the decisive catalyst for the stock on results day.</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modest bar on EPS given seasonal Q2 softness; the bigger swing factor is whether data center load ramp commentary and rate base trajectory signal upside to the full-year and 2027–2029 growth outlook.</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(Q1 2026)</w:t>
            </w:r>
          </w:p>
        </w:tc>
        <w:tc>
          <w:tcPr>
            <w:tcW w:type="dxa" w:w="1234"/>
            <w:shd w:val="clear" w:color="auto" w:fill="3B4259"/>
          </w:tcPr>
          <w:p>
            <w:r>
              <w:rPr>
                <w:rFonts w:ascii="Calibri" w:hAnsi="Calibri"/>
                <w:b/>
                <w:color w:val="FFFFFF"/>
                <w:sz w:val="22"/>
              </w:rPr>
              <w:t>Prior Year Period (Q2 2025)</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 (% delta)</w:t>
            </w:r>
          </w:p>
        </w:tc>
      </w:tr>
      <w:tr>
        <w:tc>
          <w:tcPr>
            <w:tcW w:type="dxa" w:w="1234"/>
          </w:tcPr>
          <w:p>
            <w:r>
              <w:rPr>
                <w:rFonts w:ascii="Calibri" w:hAnsi="Calibri"/>
                <w:sz w:val="22"/>
              </w:rPr>
              <w:t>Ongoing EPS ($)</w:t>
            </w:r>
          </w:p>
        </w:tc>
        <w:tc>
          <w:tcPr>
            <w:tcW w:type="dxa" w:w="1234"/>
          </w:tcPr>
          <w:p>
            <w:r>
              <w:rPr>
                <w:rFonts w:ascii="Calibri" w:hAnsi="Calibri"/>
                <w:sz w:val="22"/>
              </w:rPr>
              <w:t>$0.87</w:t>
            </w:r>
          </w:p>
        </w:tc>
        <w:tc>
          <w:tcPr>
            <w:tcW w:type="dxa" w:w="1234"/>
          </w:tcPr>
          <w:p>
            <w:r>
              <w:rPr>
                <w:rFonts w:ascii="Calibri" w:hAnsi="Calibri"/>
                <w:sz w:val="22"/>
              </w:rPr>
              <w:t>$0.68</w:t>
            </w:r>
          </w:p>
        </w:tc>
        <w:tc>
          <w:tcPr>
            <w:tcW w:type="dxa" w:w="1234"/>
          </w:tcPr>
          <w:p>
            <w:r>
              <w:rPr>
                <w:rFonts w:ascii="Calibri" w:hAnsi="Calibri"/>
                <w:sz w:val="22"/>
              </w:rPr>
              <w:t>$0.585</w:t>
            </w:r>
          </w:p>
        </w:tc>
        <w:tc>
          <w:tcPr>
            <w:tcW w:type="dxa" w:w="1234"/>
          </w:tcPr>
          <w:p>
            <w:r>
              <w:rPr>
                <w:rFonts w:ascii="Calibri" w:hAnsi="Calibri"/>
                <w:sz w:val="22"/>
              </w:rPr>
              <w:t>−14.0%</w:t>
            </w:r>
          </w:p>
        </w:tc>
        <w:tc>
          <w:tcPr>
            <w:tcW w:type="dxa" w:w="1234"/>
          </w:tcPr>
          <w:p>
            <w:r>
              <w:rPr>
                <w:rFonts w:ascii="Calibri" w:hAnsi="Calibri"/>
                <w:sz w:val="22"/>
              </w:rPr>
              <w:t>No Q2-specific guidance; FY 2026 guidance reaffirmed</w:t>
            </w:r>
          </w:p>
        </w:tc>
        <w:tc>
          <w:tcPr>
            <w:tcW w:type="dxa" w:w="1234"/>
          </w:tcPr>
          <w:p>
            <w:r>
              <w:rPr>
                <w:rFonts w:ascii="Calibri" w:hAnsi="Calibri"/>
                <w:sz w:val="22"/>
              </w:rPr>
              <w:t>N/A (no Q2 guidance midpoint)</w:t>
            </w:r>
          </w:p>
        </w:tc>
      </w:tr>
      <w:tr>
        <w:tc>
          <w:tcPr>
            <w:tcW w:type="dxa" w:w="1234"/>
          </w:tcPr>
          <w:p>
            <w:r>
              <w:rPr>
                <w:rFonts w:ascii="Calibri" w:hAnsi="Calibri"/>
                <w:sz w:val="22"/>
              </w:rPr>
              <w:t>Total Revenue ($M)</w:t>
            </w:r>
          </w:p>
        </w:tc>
        <w:tc>
          <w:tcPr>
            <w:tcW w:type="dxa" w:w="1234"/>
          </w:tcPr>
          <w:p>
            <w:r>
              <w:rPr>
                <w:rFonts w:ascii="Calibri" w:hAnsi="Calibri"/>
                <w:sz w:val="22"/>
              </w:rPr>
              <w:t>$1,184M</w:t>
            </w:r>
          </w:p>
        </w:tc>
        <w:tc>
          <w:tcPr>
            <w:tcW w:type="dxa" w:w="1234"/>
          </w:tcPr>
          <w:p>
            <w:r>
              <w:rPr>
                <w:rFonts w:ascii="Calibri" w:hAnsi="Calibri"/>
                <w:sz w:val="22"/>
              </w:rPr>
              <w:t>$961M</w:t>
            </w:r>
          </w:p>
        </w:tc>
        <w:tc>
          <w:tcPr>
            <w:tcW w:type="dxa" w:w="1234"/>
          </w:tcPr>
          <w:p>
            <w:r>
              <w:rPr>
                <w:rFonts w:ascii="Calibri" w:hAnsi="Calibri"/>
                <w:sz w:val="22"/>
              </w:rPr>
              <w:t>$974M</w:t>
            </w:r>
          </w:p>
        </w:tc>
        <w:tc>
          <w:tcPr>
            <w:tcW w:type="dxa" w:w="1234"/>
          </w:tcPr>
          <w:p>
            <w:r>
              <w:rPr>
                <w:rFonts w:ascii="Calibri" w:hAnsi="Calibri"/>
                <w:sz w:val="22"/>
              </w:rPr>
              <w:t>+1.4%</w:t>
            </w:r>
          </w:p>
        </w:tc>
        <w:tc>
          <w:tcPr>
            <w:tcW w:type="dxa" w:w="1234"/>
          </w:tcPr>
          <w:p>
            <w:r>
              <w:rPr>
                <w:rFonts w:ascii="Calibri" w:hAnsi="Calibri"/>
                <w:sz w:val="22"/>
              </w:rPr>
              <w:t>No Q2-specific guidance</w:t>
            </w:r>
          </w:p>
        </w:tc>
        <w:tc>
          <w:tcPr>
            <w:tcW w:type="dxa" w:w="1234"/>
          </w:tcPr>
          <w:p>
            <w:r>
              <w:rPr>
                <w:rFonts w:ascii="Calibri" w:hAnsi="Calibri"/>
                <w:sz w:val="22"/>
              </w:rPr>
              <w:t>N/A</w:t>
            </w:r>
          </w:p>
        </w:tc>
      </w:tr>
      <w:tr>
        <w:tc>
          <w:tcPr>
            <w:tcW w:type="dxa" w:w="1234"/>
          </w:tcPr>
          <w:p>
            <w:r>
              <w:rPr>
                <w:rFonts w:ascii="Calibri" w:hAnsi="Calibri"/>
                <w:sz w:val="22"/>
              </w:rPr>
              <w:t>Electric Volume — IPL (GWh)</w:t>
            </w:r>
          </w:p>
        </w:tc>
        <w:tc>
          <w:tcPr>
            <w:tcW w:type="dxa" w:w="1234"/>
          </w:tcPr>
          <w:p>
            <w:r>
              <w:rPr>
                <w:rFonts w:ascii="Calibri" w:hAnsi="Calibri"/>
                <w:sz w:val="22"/>
              </w:rPr>
              <w:t>3,949 GWh</w:t>
            </w:r>
          </w:p>
        </w:tc>
        <w:tc>
          <w:tcPr>
            <w:tcW w:type="dxa" w:w="1234"/>
          </w:tcPr>
          <w:p>
            <w:r>
              <w:rPr>
                <w:rFonts w:ascii="Calibri" w:hAnsi="Calibri"/>
                <w:sz w:val="22"/>
              </w:rPr>
              <w:t>3,756 GWh</w:t>
            </w:r>
          </w:p>
        </w:tc>
        <w:tc>
          <w:tcPr>
            <w:tcW w:type="dxa" w:w="1234"/>
          </w:tcPr>
          <w:p>
            <w:r>
              <w:rPr>
                <w:rFonts w:ascii="Calibri" w:hAnsi="Calibri"/>
                <w:sz w:val="22"/>
              </w:rPr>
              <w:t>4,280 GWh</w:t>
            </w:r>
          </w:p>
        </w:tc>
        <w:tc>
          <w:tcPr>
            <w:tcW w:type="dxa" w:w="1234"/>
          </w:tcPr>
          <w:p>
            <w:r>
              <w:rPr>
                <w:rFonts w:ascii="Calibri" w:hAnsi="Calibri"/>
                <w:sz w:val="22"/>
              </w:rPr>
              <w:t>+13.9%</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Electric Volume — WPL (GWh)</w:t>
            </w:r>
          </w:p>
        </w:tc>
        <w:tc>
          <w:tcPr>
            <w:tcW w:type="dxa" w:w="1234"/>
          </w:tcPr>
          <w:p>
            <w:r>
              <w:rPr>
                <w:rFonts w:ascii="Calibri" w:hAnsi="Calibri"/>
                <w:sz w:val="22"/>
              </w:rPr>
              <w:t>4,338 GWh</w:t>
            </w:r>
          </w:p>
        </w:tc>
        <w:tc>
          <w:tcPr>
            <w:tcW w:type="dxa" w:w="1234"/>
          </w:tcPr>
          <w:p>
            <w:r>
              <w:rPr>
                <w:rFonts w:ascii="Calibri" w:hAnsi="Calibri"/>
                <w:sz w:val="22"/>
              </w:rPr>
              <w:t>4,011 GWh</w:t>
            </w:r>
          </w:p>
        </w:tc>
        <w:tc>
          <w:tcPr>
            <w:tcW w:type="dxa" w:w="1234"/>
          </w:tcPr>
          <w:p>
            <w:r>
              <w:rPr>
                <w:rFonts w:ascii="Calibri" w:hAnsi="Calibri"/>
                <w:sz w:val="22"/>
              </w:rPr>
              <w:t>4,034 GWh</w:t>
            </w:r>
          </w:p>
        </w:tc>
        <w:tc>
          <w:tcPr>
            <w:tcW w:type="dxa" w:w="1234"/>
          </w:tcPr>
          <w:p>
            <w:r>
              <w:rPr>
                <w:rFonts w:ascii="Calibri" w:hAnsi="Calibri"/>
                <w:sz w:val="22"/>
              </w:rPr>
              <w:t>+0.6%</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Ending Rate Base — IPL ($B)</w:t>
            </w:r>
          </w:p>
        </w:tc>
        <w:tc>
          <w:tcPr>
            <w:tcW w:type="dxa" w:w="1234"/>
          </w:tcPr>
          <w:p>
            <w:r>
              <w:rPr>
                <w:rFonts w:ascii="Calibri" w:hAnsi="Calibri"/>
                <w:sz w:val="22"/>
              </w:rPr>
              <w:t>$10.25B</w:t>
            </w:r>
          </w:p>
        </w:tc>
        <w:tc>
          <w:tcPr>
            <w:tcW w:type="dxa" w:w="1234"/>
          </w:tcPr>
          <w:p>
            <w:r>
              <w:rPr>
                <w:rFonts w:ascii="Calibri" w:hAnsi="Calibri"/>
                <w:sz w:val="22"/>
              </w:rPr>
              <w:t>$9.41B</w:t>
            </w:r>
          </w:p>
        </w:tc>
        <w:tc>
          <w:tcPr>
            <w:tcW w:type="dxa" w:w="1234"/>
          </w:tcPr>
          <w:p>
            <w:r>
              <w:rPr>
                <w:rFonts w:ascii="Calibri" w:hAnsi="Calibri"/>
                <w:sz w:val="22"/>
              </w:rPr>
              <w:t>$10.56B</w:t>
            </w:r>
          </w:p>
        </w:tc>
        <w:tc>
          <w:tcPr>
            <w:tcW w:type="dxa" w:w="1234"/>
          </w:tcPr>
          <w:p>
            <w:r>
              <w:rPr>
                <w:rFonts w:ascii="Calibri" w:hAnsi="Calibri"/>
                <w:sz w:val="22"/>
              </w:rPr>
              <w:t>+12.2%</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Ending Rate Base — WPL ($B)</w:t>
            </w:r>
          </w:p>
        </w:tc>
        <w:tc>
          <w:tcPr>
            <w:tcW w:type="dxa" w:w="1234"/>
          </w:tcPr>
          <w:p>
            <w:r>
              <w:rPr>
                <w:rFonts w:ascii="Calibri" w:hAnsi="Calibri"/>
                <w:sz w:val="22"/>
              </w:rPr>
              <w:t>$7.50B</w:t>
            </w:r>
          </w:p>
        </w:tc>
        <w:tc>
          <w:tcPr>
            <w:tcW w:type="dxa" w:w="1234"/>
          </w:tcPr>
          <w:p>
            <w:r>
              <w:rPr>
                <w:rFonts w:ascii="Calibri" w:hAnsi="Calibri"/>
                <w:sz w:val="22"/>
              </w:rPr>
              <w:t>$7.04B</w:t>
            </w:r>
          </w:p>
        </w:tc>
        <w:tc>
          <w:tcPr>
            <w:tcW w:type="dxa" w:w="1234"/>
          </w:tcPr>
          <w:p>
            <w:r>
              <w:rPr>
                <w:rFonts w:ascii="Calibri" w:hAnsi="Calibri"/>
                <w:sz w:val="22"/>
              </w:rPr>
              <w:t>$7.72B</w:t>
            </w:r>
          </w:p>
        </w:tc>
        <w:tc>
          <w:tcPr>
            <w:tcW w:type="dxa" w:w="1234"/>
          </w:tcPr>
          <w:p>
            <w:r>
              <w:rPr>
                <w:rFonts w:ascii="Calibri" w:hAnsi="Calibri"/>
                <w:sz w:val="22"/>
              </w:rPr>
              <w:t>+9.7%</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Capital Expenditures ($M)</w:t>
            </w:r>
          </w:p>
        </w:tc>
        <w:tc>
          <w:tcPr>
            <w:tcW w:type="dxa" w:w="1234"/>
          </w:tcPr>
          <w:p>
            <w:r>
              <w:rPr>
                <w:rFonts w:ascii="Calibri" w:hAnsi="Calibri"/>
                <w:sz w:val="22"/>
              </w:rPr>
              <w:t>$414M</w:t>
            </w:r>
          </w:p>
        </w:tc>
        <w:tc>
          <w:tcPr>
            <w:tcW w:type="dxa" w:w="1234"/>
          </w:tcPr>
          <w:p>
            <w:r>
              <w:rPr>
                <w:rFonts w:ascii="Calibri" w:hAnsi="Calibri"/>
                <w:sz w:val="22"/>
              </w:rPr>
              <w:t>$483M</w:t>
            </w:r>
          </w:p>
        </w:tc>
        <w:tc>
          <w:tcPr>
            <w:tcW w:type="dxa" w:w="1234"/>
          </w:tcPr>
          <w:p>
            <w:r>
              <w:rPr>
                <w:rFonts w:ascii="Calibri" w:hAnsi="Calibri"/>
                <w:sz w:val="22"/>
              </w:rPr>
              <w:t>$843M</w:t>
            </w:r>
          </w:p>
        </w:tc>
        <w:tc>
          <w:tcPr>
            <w:tcW w:type="dxa" w:w="1234"/>
          </w:tcPr>
          <w:p>
            <w:r>
              <w:rPr>
                <w:rFonts w:ascii="Calibri" w:hAnsi="Calibri"/>
                <w:sz w:val="22"/>
              </w:rPr>
              <w:t>+74.5%</w:t>
            </w:r>
          </w:p>
        </w:tc>
        <w:tc>
          <w:tcPr>
            <w:tcW w:type="dxa" w:w="1234"/>
          </w:tcPr>
          <w:p>
            <w:r>
              <w:rPr>
                <w:rFonts w:ascii="Calibri" w:hAnsi="Calibri"/>
                <w:sz w:val="22"/>
              </w:rPr>
              <w:t>FY 2026 total CapEx guidance ~$3.2B</w:t>
            </w:r>
          </w:p>
        </w:tc>
        <w:tc>
          <w:tcPr>
            <w:tcW w:type="dxa" w:w="1234"/>
          </w:tcPr>
          <w:p>
            <w:r>
              <w:rPr>
                <w:rFonts w:ascii="Calibri" w:hAnsi="Calibri"/>
                <w:sz w:val="22"/>
              </w:rPr>
              <w:t>N/A (quarterly)</w:t>
            </w:r>
          </w:p>
        </w:tc>
      </w:tr>
    </w:tbl>
    <w:p>
      <w:r>
        <w:rPr>
          <w:rFonts w:ascii="Calibri" w:hAnsi="Calibri"/>
          <w:i/>
          <w:color w:val="525866"/>
          <w:sz w:val="22"/>
        </w:rPr>
        <w:t>Source: Visible Alpha Consensus and Actuals Data. All consensus figures as of July 29, 2026.</w:t>
      </w:r>
    </w:p>
    <w:p>
      <w:pPr>
        <w:pStyle w:val="Heading3"/>
      </w:pPr>
      <w:r>
        <w:rPr>
          <w:rFonts w:ascii="Calibri" w:hAnsi="Calibri"/>
          <w:b/>
          <w:color w:val="3B4259"/>
          <w:sz w:val="24"/>
        </w:rPr>
        <w:t>Table 2 — Beat / Miss History (Last 8 Quarters, Top 2 KPIs: Ongoing EPS &amp; Total Revenue)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Ongoing EPS</w:t>
            </w:r>
          </w:p>
        </w:tc>
        <w:tc>
          <w:tcPr>
            <w:tcW w:type="dxa" w:w="1440"/>
          </w:tcPr>
          <w:p>
            <w:r>
              <w:rPr>
                <w:rFonts w:ascii="Calibri" w:hAnsi="Calibri"/>
                <w:sz w:val="22"/>
              </w:rPr>
              <w:t>$0.87</w:t>
            </w:r>
          </w:p>
        </w:tc>
        <w:tc>
          <w:tcPr>
            <w:tcW w:type="dxa" w:w="1440"/>
          </w:tcPr>
          <w:p>
            <w:r>
              <w:rPr>
                <w:rFonts w:ascii="Calibri" w:hAnsi="Calibri"/>
                <w:sz w:val="22"/>
              </w:rPr>
              <w:t>$0.793</w:t>
            </w:r>
          </w:p>
        </w:tc>
        <w:tc>
          <w:tcPr>
            <w:tcW w:type="dxa" w:w="1440"/>
          </w:tcPr>
          <w:p>
            <w:r>
              <w:rPr>
                <w:rFonts w:ascii="Calibri" w:hAnsi="Calibri"/>
                <w:b/>
                <w:color w:val="30A46C"/>
                <w:sz w:val="22"/>
              </w:rPr>
              <w:t>+9.7%</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Total Revenue</w:t>
            </w:r>
          </w:p>
        </w:tc>
        <w:tc>
          <w:tcPr>
            <w:tcW w:type="dxa" w:w="1440"/>
          </w:tcPr>
          <w:p>
            <w:r>
              <w:rPr>
                <w:rFonts w:ascii="Calibri" w:hAnsi="Calibri"/>
                <w:sz w:val="22"/>
              </w:rPr>
              <w:t>$1,184M</w:t>
            </w:r>
          </w:p>
        </w:tc>
        <w:tc>
          <w:tcPr>
            <w:tcW w:type="dxa" w:w="1440"/>
          </w:tcPr>
          <w:p>
            <w:r>
              <w:rPr>
                <w:rFonts w:ascii="Calibri" w:hAnsi="Calibri"/>
                <w:sz w:val="22"/>
              </w:rPr>
              <w:t>$1,117M</w:t>
            </w:r>
          </w:p>
        </w:tc>
        <w:tc>
          <w:tcPr>
            <w:tcW w:type="dxa" w:w="1440"/>
          </w:tcPr>
          <w:p>
            <w:r>
              <w:rPr>
                <w:rFonts w:ascii="Calibri" w:hAnsi="Calibri"/>
                <w:b/>
                <w:color w:val="30A46C"/>
                <w:sz w:val="22"/>
              </w:rPr>
              <w:t>+6.0%</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Ongoing EPS</w:t>
            </w:r>
          </w:p>
        </w:tc>
        <w:tc>
          <w:tcPr>
            <w:tcW w:type="dxa" w:w="1440"/>
          </w:tcPr>
          <w:p>
            <w:r>
              <w:rPr>
                <w:rFonts w:ascii="Calibri" w:hAnsi="Calibri"/>
                <w:sz w:val="22"/>
              </w:rPr>
              <w:t>$0.60</w:t>
            </w:r>
          </w:p>
        </w:tc>
        <w:tc>
          <w:tcPr>
            <w:tcW w:type="dxa" w:w="1440"/>
          </w:tcPr>
          <w:p>
            <w:r>
              <w:rPr>
                <w:rFonts w:ascii="Calibri" w:hAnsi="Calibri"/>
                <w:sz w:val="22"/>
              </w:rPr>
              <w:t>$0.579</w:t>
            </w:r>
          </w:p>
        </w:tc>
        <w:tc>
          <w:tcPr>
            <w:tcW w:type="dxa" w:w="1440"/>
          </w:tcPr>
          <w:p>
            <w:r>
              <w:rPr>
                <w:rFonts w:ascii="Calibri" w:hAnsi="Calibri"/>
                <w:b/>
                <w:color w:val="30A46C"/>
                <w:sz w:val="22"/>
              </w:rPr>
              <w:t>+3.6%</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Total Revenue</w:t>
            </w:r>
          </w:p>
        </w:tc>
        <w:tc>
          <w:tcPr>
            <w:tcW w:type="dxa" w:w="1440"/>
          </w:tcPr>
          <w:p>
            <w:r>
              <w:rPr>
                <w:rFonts w:ascii="Calibri" w:hAnsi="Calibri"/>
                <w:sz w:val="22"/>
              </w:rPr>
              <w:t>$1,064M</w:t>
            </w:r>
          </w:p>
        </w:tc>
        <w:tc>
          <w:tcPr>
            <w:tcW w:type="dxa" w:w="1440"/>
          </w:tcPr>
          <w:p>
            <w:r>
              <w:rPr>
                <w:rFonts w:ascii="Calibri" w:hAnsi="Calibri"/>
                <w:sz w:val="22"/>
              </w:rPr>
              <w:t>$854M</w:t>
            </w:r>
          </w:p>
        </w:tc>
        <w:tc>
          <w:tcPr>
            <w:tcW w:type="dxa" w:w="1440"/>
          </w:tcPr>
          <w:p>
            <w:r>
              <w:rPr>
                <w:rFonts w:ascii="Calibri" w:hAnsi="Calibri"/>
                <w:b/>
                <w:color w:val="30A46C"/>
                <w:sz w:val="22"/>
              </w:rPr>
              <w:t>+24.6%</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Ongoing EPS</w:t>
            </w:r>
          </w:p>
        </w:tc>
        <w:tc>
          <w:tcPr>
            <w:tcW w:type="dxa" w:w="1440"/>
          </w:tcPr>
          <w:p>
            <w:r>
              <w:rPr>
                <w:rFonts w:ascii="Calibri" w:hAnsi="Calibri"/>
                <w:sz w:val="22"/>
              </w:rPr>
              <w:t>$1.12</w:t>
            </w:r>
          </w:p>
        </w:tc>
        <w:tc>
          <w:tcPr>
            <w:tcW w:type="dxa" w:w="1440"/>
          </w:tcPr>
          <w:p>
            <w:r>
              <w:rPr>
                <w:rFonts w:ascii="Calibri" w:hAnsi="Calibri"/>
                <w:sz w:val="22"/>
              </w:rPr>
              <w:t>$1.190</w:t>
            </w:r>
          </w:p>
        </w:tc>
        <w:tc>
          <w:tcPr>
            <w:tcW w:type="dxa" w:w="1440"/>
          </w:tcPr>
          <w:p>
            <w:r>
              <w:rPr>
                <w:rFonts w:ascii="Calibri" w:hAnsi="Calibri"/>
                <w:b/>
                <w:color w:val="E5484D"/>
                <w:sz w:val="22"/>
              </w:rPr>
              <w:t>−5.9%</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Total Revenue</w:t>
            </w:r>
          </w:p>
        </w:tc>
        <w:tc>
          <w:tcPr>
            <w:tcW w:type="dxa" w:w="1440"/>
          </w:tcPr>
          <w:p>
            <w:r>
              <w:rPr>
                <w:rFonts w:ascii="Calibri" w:hAnsi="Calibri"/>
                <w:sz w:val="22"/>
              </w:rPr>
              <w:t>$1,210M</w:t>
            </w:r>
          </w:p>
        </w:tc>
        <w:tc>
          <w:tcPr>
            <w:tcW w:type="dxa" w:w="1440"/>
          </w:tcPr>
          <w:p>
            <w:r>
              <w:rPr>
                <w:rFonts w:ascii="Calibri" w:hAnsi="Calibri"/>
                <w:sz w:val="22"/>
              </w:rPr>
              <w:t>$1,129M</w:t>
            </w:r>
          </w:p>
        </w:tc>
        <w:tc>
          <w:tcPr>
            <w:tcW w:type="dxa" w:w="1440"/>
          </w:tcPr>
          <w:p>
            <w:r>
              <w:rPr>
                <w:rFonts w:ascii="Calibri" w:hAnsi="Calibri"/>
                <w:b/>
                <w:color w:val="30A46C"/>
                <w:sz w:val="22"/>
              </w:rPr>
              <w:t>+7.2%</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Ongoing EPS</w:t>
            </w:r>
          </w:p>
        </w:tc>
        <w:tc>
          <w:tcPr>
            <w:tcW w:type="dxa" w:w="1440"/>
          </w:tcPr>
          <w:p>
            <w:r>
              <w:rPr>
                <w:rFonts w:ascii="Calibri" w:hAnsi="Calibri"/>
                <w:sz w:val="22"/>
              </w:rPr>
              <w:t>$0.68</w:t>
            </w:r>
          </w:p>
        </w:tc>
        <w:tc>
          <w:tcPr>
            <w:tcW w:type="dxa" w:w="1440"/>
          </w:tcPr>
          <w:p>
            <w:r>
              <w:rPr>
                <w:rFonts w:ascii="Calibri" w:hAnsi="Calibri"/>
                <w:sz w:val="22"/>
              </w:rPr>
              <w:t>$0.615</w:t>
            </w:r>
          </w:p>
        </w:tc>
        <w:tc>
          <w:tcPr>
            <w:tcW w:type="dxa" w:w="1440"/>
          </w:tcPr>
          <w:p>
            <w:r>
              <w:rPr>
                <w:rFonts w:ascii="Calibri" w:hAnsi="Calibri"/>
                <w:b/>
                <w:color w:val="30A46C"/>
                <w:sz w:val="22"/>
              </w:rPr>
              <w:t>+10.6%</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Total Revenue</w:t>
            </w:r>
          </w:p>
        </w:tc>
        <w:tc>
          <w:tcPr>
            <w:tcW w:type="dxa" w:w="1440"/>
          </w:tcPr>
          <w:p>
            <w:r>
              <w:rPr>
                <w:rFonts w:ascii="Calibri" w:hAnsi="Calibri"/>
                <w:sz w:val="22"/>
              </w:rPr>
              <w:t>$961M</w:t>
            </w:r>
          </w:p>
        </w:tc>
        <w:tc>
          <w:tcPr>
            <w:tcW w:type="dxa" w:w="1440"/>
          </w:tcPr>
          <w:p>
            <w:r>
              <w:rPr>
                <w:rFonts w:ascii="Calibri" w:hAnsi="Calibri"/>
                <w:sz w:val="22"/>
              </w:rPr>
              <w:t>$913M</w:t>
            </w:r>
          </w:p>
        </w:tc>
        <w:tc>
          <w:tcPr>
            <w:tcW w:type="dxa" w:w="1440"/>
          </w:tcPr>
          <w:p>
            <w:r>
              <w:rPr>
                <w:rFonts w:ascii="Calibri" w:hAnsi="Calibri"/>
                <w:b/>
                <w:color w:val="30A46C"/>
                <w:sz w:val="22"/>
              </w:rPr>
              <w:t>+5.3%</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Ongoing EPS</w:t>
            </w:r>
          </w:p>
        </w:tc>
        <w:tc>
          <w:tcPr>
            <w:tcW w:type="dxa" w:w="1440"/>
          </w:tcPr>
          <w:p>
            <w:r>
              <w:rPr>
                <w:rFonts w:ascii="Calibri" w:hAnsi="Calibri"/>
                <w:sz w:val="22"/>
              </w:rPr>
              <w:t>$0.83</w:t>
            </w:r>
          </w:p>
        </w:tc>
        <w:tc>
          <w:tcPr>
            <w:tcW w:type="dxa" w:w="1440"/>
          </w:tcPr>
          <w:p>
            <w:r>
              <w:rPr>
                <w:rFonts w:ascii="Calibri" w:hAnsi="Calibri"/>
                <w:sz w:val="22"/>
              </w:rPr>
              <w:t>$0.674</w:t>
            </w:r>
          </w:p>
        </w:tc>
        <w:tc>
          <w:tcPr>
            <w:tcW w:type="dxa" w:w="1440"/>
          </w:tcPr>
          <w:p>
            <w:r>
              <w:rPr>
                <w:rFonts w:ascii="Calibri" w:hAnsi="Calibri"/>
                <w:b/>
                <w:color w:val="30A46C"/>
                <w:sz w:val="22"/>
              </w:rPr>
              <w:t>+23.1%</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Total Revenue</w:t>
            </w:r>
          </w:p>
        </w:tc>
        <w:tc>
          <w:tcPr>
            <w:tcW w:type="dxa" w:w="1440"/>
          </w:tcPr>
          <w:p>
            <w:r>
              <w:rPr>
                <w:rFonts w:ascii="Calibri" w:hAnsi="Calibri"/>
                <w:sz w:val="22"/>
              </w:rPr>
              <w:t>$1,128M</w:t>
            </w:r>
          </w:p>
        </w:tc>
        <w:tc>
          <w:tcPr>
            <w:tcW w:type="dxa" w:w="1440"/>
          </w:tcPr>
          <w:p>
            <w:r>
              <w:rPr>
                <w:rFonts w:ascii="Calibri" w:hAnsi="Calibri"/>
                <w:sz w:val="22"/>
              </w:rPr>
              <w:t>$1,002M</w:t>
            </w:r>
          </w:p>
        </w:tc>
        <w:tc>
          <w:tcPr>
            <w:tcW w:type="dxa" w:w="1440"/>
          </w:tcPr>
          <w:p>
            <w:r>
              <w:rPr>
                <w:rFonts w:ascii="Calibri" w:hAnsi="Calibri"/>
                <w:b/>
                <w:color w:val="30A46C"/>
                <w:sz w:val="22"/>
              </w:rPr>
              <w:t>+12.6%</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Ongoing EPS</w:t>
            </w:r>
          </w:p>
        </w:tc>
        <w:tc>
          <w:tcPr>
            <w:tcW w:type="dxa" w:w="1440"/>
          </w:tcPr>
          <w:p>
            <w:r>
              <w:rPr>
                <w:rFonts w:ascii="Calibri" w:hAnsi="Calibri"/>
                <w:sz w:val="22"/>
              </w:rPr>
              <w:t>$0.937</w:t>
            </w:r>
          </w:p>
        </w:tc>
        <w:tc>
          <w:tcPr>
            <w:tcW w:type="dxa" w:w="1440"/>
          </w:tcPr>
          <w:p>
            <w:r>
              <w:rPr>
                <w:rFonts w:ascii="Calibri" w:hAnsi="Calibri"/>
                <w:sz w:val="22"/>
              </w:rPr>
              <w:t>$0.684</w:t>
            </w:r>
          </w:p>
        </w:tc>
        <w:tc>
          <w:tcPr>
            <w:tcW w:type="dxa" w:w="1440"/>
          </w:tcPr>
          <w:p>
            <w:r>
              <w:rPr>
                <w:rFonts w:ascii="Calibri" w:hAnsi="Calibri"/>
                <w:b/>
                <w:color w:val="30A46C"/>
                <w:sz w:val="22"/>
              </w:rPr>
              <w:t>+37.0%</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Total Revenue</w:t>
            </w:r>
          </w:p>
        </w:tc>
        <w:tc>
          <w:tcPr>
            <w:tcW w:type="dxa" w:w="1440"/>
          </w:tcPr>
          <w:p>
            <w:r>
              <w:rPr>
                <w:rFonts w:ascii="Calibri" w:hAnsi="Calibri"/>
                <w:sz w:val="22"/>
              </w:rPr>
              <w:t>$975M</w:t>
            </w:r>
          </w:p>
        </w:tc>
        <w:tc>
          <w:tcPr>
            <w:tcW w:type="dxa" w:w="1440"/>
          </w:tcPr>
          <w:p>
            <w:r>
              <w:rPr>
                <w:rFonts w:ascii="Calibri" w:hAnsi="Calibri"/>
                <w:sz w:val="22"/>
              </w:rPr>
              <w:t>$1,087M</w:t>
            </w:r>
          </w:p>
        </w:tc>
        <w:tc>
          <w:tcPr>
            <w:tcW w:type="dxa" w:w="1440"/>
          </w:tcPr>
          <w:p>
            <w:r>
              <w:rPr>
                <w:rFonts w:ascii="Calibri" w:hAnsi="Calibri"/>
                <w:b/>
                <w:color w:val="E5484D"/>
                <w:sz w:val="22"/>
              </w:rPr>
              <w:t>−10.3%</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Ongoing EPS</w:t>
            </w:r>
          </w:p>
        </w:tc>
        <w:tc>
          <w:tcPr>
            <w:tcW w:type="dxa" w:w="1440"/>
          </w:tcPr>
          <w:p>
            <w:r>
              <w:rPr>
                <w:rFonts w:ascii="Calibri" w:hAnsi="Calibri"/>
                <w:sz w:val="22"/>
              </w:rPr>
              <w:t>$1.15</w:t>
            </w:r>
          </w:p>
        </w:tc>
        <w:tc>
          <w:tcPr>
            <w:tcW w:type="dxa" w:w="1440"/>
          </w:tcPr>
          <w:p>
            <w:r>
              <w:rPr>
                <w:rFonts w:ascii="Calibri" w:hAnsi="Calibri"/>
                <w:sz w:val="22"/>
              </w:rPr>
              <w:t>$1.103</w:t>
            </w:r>
          </w:p>
        </w:tc>
        <w:tc>
          <w:tcPr>
            <w:tcW w:type="dxa" w:w="1440"/>
          </w:tcPr>
          <w:p>
            <w:r>
              <w:rPr>
                <w:rFonts w:ascii="Calibri" w:hAnsi="Calibri"/>
                <w:b/>
                <w:color w:val="30A46C"/>
                <w:sz w:val="22"/>
              </w:rPr>
              <w:t>+4.3%</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Total Revenue</w:t>
            </w:r>
          </w:p>
        </w:tc>
        <w:tc>
          <w:tcPr>
            <w:tcW w:type="dxa" w:w="1440"/>
          </w:tcPr>
          <w:p>
            <w:r>
              <w:rPr>
                <w:rFonts w:ascii="Calibri" w:hAnsi="Calibri"/>
                <w:sz w:val="22"/>
              </w:rPr>
              <w:t>$1,081M</w:t>
            </w:r>
          </w:p>
        </w:tc>
        <w:tc>
          <w:tcPr>
            <w:tcW w:type="dxa" w:w="1440"/>
          </w:tcPr>
          <w:p>
            <w:r>
              <w:rPr>
                <w:rFonts w:ascii="Calibri" w:hAnsi="Calibri"/>
                <w:sz w:val="22"/>
              </w:rPr>
              <w:t>$1,211M</w:t>
            </w:r>
          </w:p>
        </w:tc>
        <w:tc>
          <w:tcPr>
            <w:tcW w:type="dxa" w:w="1440"/>
          </w:tcPr>
          <w:p>
            <w:r>
              <w:rPr>
                <w:rFonts w:ascii="Calibri" w:hAnsi="Calibri"/>
                <w:b/>
                <w:color w:val="E5484D"/>
                <w:sz w:val="22"/>
              </w:rPr>
              <w:t>−10.7%</w:t>
            </w:r>
          </w:p>
        </w:tc>
        <w:tc>
          <w:tcPr>
            <w:tcW w:type="dxa" w:w="1440"/>
          </w:tcPr>
          <w:p>
            <w:r>
              <w:rPr>
                <w:rFonts w:ascii="Calibri" w:hAnsi="Calibri"/>
                <w:b/>
                <w:color w:val="E5484D"/>
                <w:sz w:val="22"/>
              </w:rPr>
              <w:t>Miss</w:t>
            </w:r>
          </w:p>
        </w:tc>
      </w:tr>
    </w:tbl>
    <w:p>
      <w:r>
        <w:rPr>
          <w:rFonts w:ascii="Calibri" w:hAnsi="Calibri"/>
          <w:i/>
          <w:color w:val="525866"/>
          <w:sz w:val="22"/>
        </w:rPr>
        <w:t>Source: Visible Alpha Consensus and Actuals Data.</w:t>
      </w:r>
    </w:p>
    <w:p>
      <w:r>
        <w:rPr>
          <w:rFonts w:ascii="Calibri" w:hAnsi="Calibri"/>
          <w:b/>
          <w:color w:val="525866"/>
          <w:sz w:val="22"/>
        </w:rPr>
        <w:t xml:space="preserve">Pattern: </w:t>
      </w:r>
      <w:r>
        <w:rPr>
          <w:rFonts w:ascii="Calibri" w:hAnsi="Calibri"/>
          <w:color w:val="525866"/>
          <w:sz w:val="22"/>
        </w:rPr>
        <w:t>LNT has beaten ongoing EPS consensus in 7 of the last 8 quarters, with the sole miss in Q3 2025 driven by weather headwinds; revenue beats are less consistent, with two misses tied to timing of large customer load ramp. The consistent EPS beat pattern suggests management guides conservatively.</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Full-year 2026 guidance was reaffirmed on the Q1 2026 earnings call (April 30, 2026) with no subsequent revisions; management tone remains constructive, with the key forward catalyst being the Q3 resource plan refresh.</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April 30,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Ongoing EPS</w:t>
            </w:r>
          </w:p>
        </w:tc>
        <w:tc>
          <w:tcPr>
            <w:tcW w:type="dxa" w:w="1728"/>
          </w:tcPr>
          <w:p>
            <w:r>
              <w:rPr>
                <w:rFonts w:ascii="Calibri" w:hAnsi="Calibri"/>
                <w:sz w:val="22"/>
              </w:rPr>
              <w:t>Reaffirmed (no specific range disclosed in Q1 transcript; FY guidance maintained)</w:t>
            </w:r>
          </w:p>
        </w:tc>
        <w:tc>
          <w:tcPr>
            <w:tcW w:type="dxa" w:w="1728"/>
          </w:tcPr>
          <w:p>
            <w:r>
              <w:rPr>
                <w:rFonts w:ascii="Calibri" w:hAnsi="Calibri"/>
                <w:sz w:val="22"/>
              </w:rPr>
              <w:t>—</w:t>
            </w:r>
          </w:p>
        </w:tc>
        <w:tc>
          <w:tcPr>
            <w:tcW w:type="dxa" w:w="1728"/>
          </w:tcPr>
          <w:p>
            <w:r>
              <w:rPr>
                <w:rFonts w:ascii="Calibri" w:hAnsi="Calibri"/>
                <w:sz w:val="22"/>
              </w:rPr>
              <w:t>$3.42</w:t>
            </w:r>
          </w:p>
        </w:tc>
        <w:tc>
          <w:tcPr>
            <w:tcW w:type="dxa" w:w="1728"/>
          </w:tcPr>
          <w:p>
            <w:r>
              <w:rPr>
                <w:rFonts w:ascii="Calibri" w:hAnsi="Calibri"/>
                <w:sz w:val="22"/>
              </w:rPr>
              <w:t>Guidance reaffirmed on Q1 call; no post-earnings revision. Management noted Q1 delivered ~25% of full-year guidance midpoint despite mild temperatures.</w:t>
            </w:r>
          </w:p>
        </w:tc>
      </w:tr>
      <w:tr>
        <w:tc>
          <w:tcPr>
            <w:tcW w:type="dxa" w:w="1728"/>
          </w:tcPr>
          <w:p>
            <w:r>
              <w:rPr>
                <w:rFonts w:ascii="Calibri" w:hAnsi="Calibri"/>
                <w:sz w:val="22"/>
              </w:rPr>
              <w:t>Long-Term EPS Growth (2027–2029)</w:t>
            </w:r>
          </w:p>
        </w:tc>
        <w:tc>
          <w:tcPr>
            <w:tcW w:type="dxa" w:w="1728"/>
          </w:tcPr>
          <w:p>
            <w:r>
              <w:rPr>
                <w:rFonts w:ascii="Calibri" w:hAnsi="Calibri"/>
                <w:sz w:val="22"/>
              </w:rPr>
              <w:t>7%+ CAGR</w:t>
            </w:r>
          </w:p>
        </w:tc>
        <w:tc>
          <w:tcPr>
            <w:tcW w:type="dxa" w:w="1728"/>
          </w:tcPr>
          <w:p>
            <w:r>
              <w:rPr>
                <w:rFonts w:ascii="Calibri" w:hAnsi="Calibri"/>
                <w:sz w:val="22"/>
              </w:rPr>
              <w:t>—</w:t>
            </w:r>
          </w:p>
        </w:tc>
        <w:tc>
          <w:tcPr>
            <w:tcW w:type="dxa" w:w="1728"/>
          </w:tcPr>
          <w:p>
            <w:r>
              <w:rPr>
                <w:rFonts w:ascii="Calibri" w:hAnsi="Calibri"/>
                <w:sz w:val="22"/>
              </w:rPr>
              <w:t>Consensus FY 2027 EPS: $3.68</w:t>
            </w:r>
          </w:p>
        </w:tc>
        <w:tc>
          <w:tcPr>
            <w:tcW w:type="dxa" w:w="1728"/>
          </w:tcPr>
          <w:p>
            <w:r>
              <w:rPr>
                <w:rFonts w:ascii="Calibri" w:hAnsi="Calibri"/>
                <w:sz w:val="22"/>
              </w:rPr>
              <w:t>Maintained on Q1 call. Q3 resource plan refresh expected to provide updated EPS and growth trajectory.</w:t>
            </w:r>
          </w:p>
        </w:tc>
      </w:tr>
      <w:tr>
        <w:tc>
          <w:tcPr>
            <w:tcW w:type="dxa" w:w="1728"/>
          </w:tcPr>
          <w:p>
            <w:r>
              <w:rPr>
                <w:rFonts w:ascii="Calibri" w:hAnsi="Calibri"/>
                <w:sz w:val="22"/>
              </w:rPr>
              <w:t>Contracted Data Center Demand</w:t>
            </w:r>
          </w:p>
        </w:tc>
        <w:tc>
          <w:tcPr>
            <w:tcW w:type="dxa" w:w="1728"/>
          </w:tcPr>
          <w:p>
            <w:r>
              <w:rPr>
                <w:rFonts w:ascii="Calibri" w:hAnsi="Calibri"/>
                <w:sz w:val="22"/>
              </w:rPr>
              <w:t>~3.4 GW (5 fully executed ESAs)</w:t>
            </w:r>
          </w:p>
        </w:tc>
        <w:tc>
          <w:tcPr>
            <w:tcW w:type="dxa" w:w="1728"/>
          </w:tcPr>
          <w:p>
            <w:r>
              <w:rPr>
                <w:rFonts w:ascii="Calibri" w:hAnsi="Calibri"/>
                <w:sz w:val="22"/>
              </w:rPr>
              <w:t>—</w:t>
            </w:r>
          </w:p>
        </w:tc>
        <w:tc>
          <w:tcPr>
            <w:tcW w:type="dxa" w:w="1728"/>
          </w:tcPr>
          <w:p>
            <w:r>
              <w:rPr>
                <w:rFonts w:ascii="Calibri" w:hAnsi="Calibri"/>
                <w:sz w:val="22"/>
              </w:rPr>
              <w:t>N/A (not a consensus KPI)</w:t>
            </w:r>
          </w:p>
        </w:tc>
        <w:tc>
          <w:tcPr>
            <w:tcW w:type="dxa" w:w="1728"/>
          </w:tcPr>
          <w:p>
            <w:r>
              <w:rPr>
                <w:rFonts w:ascii="Calibri" w:hAnsi="Calibri"/>
                <w:sz w:val="22"/>
              </w:rPr>
              <w:t>New 370 MW ESA announced in April 2026 (post-Q4 2025 earnings). Pipeline of 2–4 GW of additional opportunities remains active.</w:t>
            </w:r>
          </w:p>
        </w:tc>
      </w:tr>
      <w:tr>
        <w:tc>
          <w:tcPr>
            <w:tcW w:type="dxa" w:w="1728"/>
          </w:tcPr>
          <w:p>
            <w:r>
              <w:rPr>
                <w:rFonts w:ascii="Calibri" w:hAnsi="Calibri"/>
                <w:sz w:val="22"/>
              </w:rPr>
              <w:t>FY 2026 Total CapEx</w:t>
            </w:r>
          </w:p>
        </w:tc>
        <w:tc>
          <w:tcPr>
            <w:tcW w:type="dxa" w:w="1728"/>
          </w:tcPr>
          <w:p>
            <w:r>
              <w:rPr>
                <w:rFonts w:ascii="Calibri" w:hAnsi="Calibri"/>
                <w:sz w:val="22"/>
              </w:rPr>
              <w:t>~$3.2B (4-year plan funded via cash from operations, tax credit monetization, debt, hybrid instruments, and equity)</w:t>
            </w:r>
          </w:p>
        </w:tc>
        <w:tc>
          <w:tcPr>
            <w:tcW w:type="dxa" w:w="1728"/>
          </w:tcPr>
          <w:p>
            <w:r>
              <w:rPr>
                <w:rFonts w:ascii="Calibri" w:hAnsi="Calibri"/>
                <w:sz w:val="22"/>
              </w:rPr>
              <w:t>—</w:t>
            </w:r>
          </w:p>
        </w:tc>
        <w:tc>
          <w:tcPr>
            <w:tcW w:type="dxa" w:w="1728"/>
          </w:tcPr>
          <w:p>
            <w:r>
              <w:rPr>
                <w:rFonts w:ascii="Calibri" w:hAnsi="Calibri"/>
                <w:sz w:val="22"/>
              </w:rPr>
              <w:t>$3.20B</w:t>
            </w:r>
          </w:p>
        </w:tc>
        <w:tc>
          <w:tcPr>
            <w:tcW w:type="dxa" w:w="1728"/>
          </w:tcPr>
          <w:p>
            <w:r>
              <w:rPr>
                <w:rFonts w:ascii="Calibri" w:hAnsi="Calibri"/>
                <w:sz w:val="22"/>
              </w:rPr>
              <w:t>No revision. Equity needs through 2027 covered via forward equity agreements; new $1B ATM filed for remaining 2029 needs.</w:t>
            </w:r>
          </w:p>
        </w:tc>
      </w:tr>
      <w:tr>
        <w:tc>
          <w:tcPr>
            <w:tcW w:type="dxa" w:w="1728"/>
          </w:tcPr>
          <w:p>
            <w:r>
              <w:rPr>
                <w:rFonts w:ascii="Calibri" w:hAnsi="Calibri"/>
                <w:sz w:val="22"/>
              </w:rPr>
              <w:t>Q3 Resource Plan Refresh</w:t>
            </w:r>
          </w:p>
        </w:tc>
        <w:tc>
          <w:tcPr>
            <w:tcW w:type="dxa" w:w="1728"/>
          </w:tcPr>
          <w:p>
            <w:r>
              <w:rPr>
                <w:rFonts w:ascii="Calibri" w:hAnsi="Calibri"/>
                <w:sz w:val="22"/>
              </w:rPr>
              <w:t>Expected at Q3 earnings call and EEI; will incorporate incremental load beyond 3 GW and updated MISO accreditation assumptions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Key forward catalyst. Management: “Our third quarter update will include a refreshed Iowa resource plan, reflecting any incremental load beyond the 3 gigawatts already in our plan.”</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Q2 2026 EPS estimates have been revised down materially since the Q1 print (from $0.692 to $0.585, −15.4%), while the full-year 2026 consensus has been remarkably stable at ~$3.42 — suggesting the street views Q2 softness as seasonal timing, not a structural change. The gap between Q2 consensus and the full-year run-rate implies a back-half weighted earnings profile consistent with management’s historical pattern.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8, 2026)</w:t>
            </w:r>
          </w:p>
        </w:tc>
        <w:tc>
          <w:tcPr>
            <w:tcW w:type="dxa" w:w="1080"/>
            <w:shd w:val="clear" w:color="auto" w:fill="3B4259"/>
          </w:tcPr>
          <w:p>
            <w:r>
              <w:rPr>
                <w:rFonts w:ascii="Calibri" w:hAnsi="Calibri"/>
                <w:b/>
                <w:color w:val="FFFFFF"/>
                <w:sz w:val="22"/>
              </w:rPr>
              <w:t>Current Consensus (July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Ongoing EPS — Q2 2026</w:t>
            </w:r>
          </w:p>
        </w:tc>
        <w:tc>
          <w:tcPr>
            <w:tcW w:type="dxa" w:w="1080"/>
          </w:tcPr>
          <w:p>
            <w:r>
              <w:rPr>
                <w:rFonts w:ascii="Calibri" w:hAnsi="Calibri"/>
                <w:sz w:val="22"/>
              </w:rPr>
              <w:t>$0.692</w:t>
            </w:r>
          </w:p>
        </w:tc>
        <w:tc>
          <w:tcPr>
            <w:tcW w:type="dxa" w:w="1080"/>
          </w:tcPr>
          <w:p>
            <w:r>
              <w:rPr>
                <w:rFonts w:ascii="Calibri" w:hAnsi="Calibri"/>
                <w:sz w:val="22"/>
              </w:rPr>
              <w:t>$0.585</w:t>
            </w:r>
          </w:p>
        </w:tc>
        <w:tc>
          <w:tcPr>
            <w:tcW w:type="dxa" w:w="1080"/>
          </w:tcPr>
          <w:p>
            <w:r>
              <w:rPr>
                <w:rFonts w:ascii="Calibri" w:hAnsi="Calibri"/>
                <w:b/>
                <w:color w:val="E5484D"/>
                <w:sz w:val="22"/>
              </w:rPr>
              <w:t>−15.4%</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Ongoing EPS — FY 2026</w:t>
            </w:r>
          </w:p>
        </w:tc>
        <w:tc>
          <w:tcPr>
            <w:tcW w:type="dxa" w:w="1080"/>
          </w:tcPr>
          <w:p>
            <w:r>
              <w:rPr>
                <w:rFonts w:ascii="Calibri" w:hAnsi="Calibri"/>
                <w:sz w:val="22"/>
              </w:rPr>
              <w:t>$3.419</w:t>
            </w:r>
          </w:p>
        </w:tc>
        <w:tc>
          <w:tcPr>
            <w:tcW w:type="dxa" w:w="1080"/>
          </w:tcPr>
          <w:p>
            <w:r>
              <w:rPr>
                <w:rFonts w:ascii="Calibri" w:hAnsi="Calibri"/>
                <w:sz w:val="22"/>
              </w:rPr>
              <w:t>$3.420</w:t>
            </w:r>
          </w:p>
        </w:tc>
        <w:tc>
          <w:tcPr>
            <w:tcW w:type="dxa" w:w="1080"/>
          </w:tcPr>
          <w:p>
            <w:r>
              <w:rPr>
                <w:rFonts w:ascii="Calibri" w:hAnsi="Calibri"/>
                <w:sz w:val="22"/>
              </w:rPr>
              <w:t>+0.0%</w:t>
            </w:r>
          </w:p>
        </w:tc>
        <w:tc>
          <w:tcPr>
            <w:tcW w:type="dxa" w:w="1080"/>
          </w:tcPr>
          <w:p>
            <w:r>
              <w:rPr>
                <w:rFonts w:ascii="Calibri" w:hAnsi="Calibri"/>
                <w:sz w:val="22"/>
              </w:rPr>
              <w:t>Reaffirmed (no specific range disclosed)</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N/A (no midpoint)</w:t>
            </w:r>
          </w:p>
        </w:tc>
      </w:tr>
      <w:tr>
        <w:tc>
          <w:tcPr>
            <w:tcW w:type="dxa" w:w="1080"/>
          </w:tcPr>
          <w:p>
            <w:r>
              <w:rPr>
                <w:rFonts w:ascii="Calibri" w:hAnsi="Calibri"/>
                <w:sz w:val="22"/>
              </w:rPr>
              <w:t>Ongoing EPS — FY 2027</w:t>
            </w:r>
          </w:p>
        </w:tc>
        <w:tc>
          <w:tcPr>
            <w:tcW w:type="dxa" w:w="1080"/>
          </w:tcPr>
          <w:p>
            <w:r>
              <w:rPr>
                <w:rFonts w:ascii="Calibri" w:hAnsi="Calibri"/>
                <w:sz w:val="22"/>
              </w:rPr>
              <w:t>$3.683</w:t>
            </w:r>
          </w:p>
        </w:tc>
        <w:tc>
          <w:tcPr>
            <w:tcW w:type="dxa" w:w="1080"/>
          </w:tcPr>
          <w:p>
            <w:r>
              <w:rPr>
                <w:rFonts w:ascii="Calibri" w:hAnsi="Calibri"/>
                <w:sz w:val="22"/>
              </w:rPr>
              <w:t>$3.681</w:t>
            </w:r>
          </w:p>
        </w:tc>
        <w:tc>
          <w:tcPr>
            <w:tcW w:type="dxa" w:w="1080"/>
          </w:tcPr>
          <w:p>
            <w:r>
              <w:rPr>
                <w:rFonts w:ascii="Calibri" w:hAnsi="Calibri"/>
                <w:sz w:val="22"/>
              </w:rPr>
              <w:t>−0.1%</w:t>
            </w:r>
          </w:p>
        </w:tc>
        <w:tc>
          <w:tcPr>
            <w:tcW w:type="dxa" w:w="1080"/>
          </w:tcPr>
          <w:p>
            <w:r>
              <w:rPr>
                <w:rFonts w:ascii="Calibri" w:hAnsi="Calibri"/>
                <w:sz w:val="22"/>
              </w:rPr>
              <w:t>7%+ CAGR (2027–2029)</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Consistent with 7%+ CAGR</w:t>
            </w:r>
          </w:p>
        </w:tc>
      </w:tr>
      <w:tr>
        <w:tc>
          <w:tcPr>
            <w:tcW w:type="dxa" w:w="1080"/>
          </w:tcPr>
          <w:p>
            <w:r>
              <w:rPr>
                <w:rFonts w:ascii="Calibri" w:hAnsi="Calibri"/>
                <w:sz w:val="22"/>
              </w:rPr>
              <w:t>Total Revenue — Q2 2026</w:t>
            </w:r>
          </w:p>
        </w:tc>
        <w:tc>
          <w:tcPr>
            <w:tcW w:type="dxa" w:w="1080"/>
          </w:tcPr>
          <w:p>
            <w:r>
              <w:rPr>
                <w:rFonts w:ascii="Calibri" w:hAnsi="Calibri"/>
                <w:sz w:val="22"/>
              </w:rPr>
              <w:t>$992M</w:t>
            </w:r>
          </w:p>
        </w:tc>
        <w:tc>
          <w:tcPr>
            <w:tcW w:type="dxa" w:w="1080"/>
          </w:tcPr>
          <w:p>
            <w:r>
              <w:rPr>
                <w:rFonts w:ascii="Calibri" w:hAnsi="Calibri"/>
                <w:sz w:val="22"/>
              </w:rPr>
              <w:t>$974M</w:t>
            </w:r>
          </w:p>
        </w:tc>
        <w:tc>
          <w:tcPr>
            <w:tcW w:type="dxa" w:w="1080"/>
          </w:tcPr>
          <w:p>
            <w:r>
              <w:rPr>
                <w:rFonts w:ascii="Calibri" w:hAnsi="Calibri"/>
                <w:sz w:val="22"/>
              </w:rPr>
              <w:t>−1.8%</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$4,370M</w:t>
            </w:r>
          </w:p>
        </w:tc>
        <w:tc>
          <w:tcPr>
            <w:tcW w:type="dxa" w:w="1080"/>
          </w:tcPr>
          <w:p>
            <w:r>
              <w:rPr>
                <w:rFonts w:ascii="Calibri" w:hAnsi="Calibri"/>
                <w:sz w:val="22"/>
              </w:rPr>
              <w:t>$4,417M</w:t>
            </w:r>
          </w:p>
        </w:tc>
        <w:tc>
          <w:tcPr>
            <w:tcW w:type="dxa" w:w="1080"/>
          </w:tcPr>
          <w:p>
            <w:r>
              <w:rPr>
                <w:rFonts w:ascii="Calibri" w:hAnsi="Calibri"/>
                <w:b/>
                <w:color w:val="30A46C"/>
                <w:sz w:val="22"/>
              </w:rPr>
              <w:t>+1.1%</w:t>
            </w:r>
          </w:p>
        </w:tc>
        <w:tc>
          <w:tcPr>
            <w:tcW w:type="dxa" w:w="1080"/>
          </w:tcPr>
          <w:p>
            <w:r>
              <w:rPr>
                <w:rFonts w:ascii="Calibri" w:hAnsi="Calibri"/>
                <w:sz w:val="22"/>
              </w:rPr>
              <w:t>No specific guidance</w:t>
            </w:r>
          </w:p>
        </w:tc>
        <w:tc>
          <w:tcPr>
            <w:tcW w:type="dxa" w:w="1080"/>
          </w:tcPr>
          <w:p>
            <w:r>
              <w:rPr>
                <w:rFonts w:ascii="Calibri" w:hAnsi="Calibri"/>
                <w:sz w:val="22"/>
              </w:rPr>
              <w:t>No 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CapEx — FY 2026</w:t>
            </w:r>
          </w:p>
        </w:tc>
        <w:tc>
          <w:tcPr>
            <w:tcW w:type="dxa" w:w="1080"/>
          </w:tcPr>
          <w:p>
            <w:r>
              <w:rPr>
                <w:rFonts w:ascii="Calibri" w:hAnsi="Calibri"/>
                <w:sz w:val="22"/>
              </w:rPr>
              <w:t>$3,121M</w:t>
            </w:r>
          </w:p>
        </w:tc>
        <w:tc>
          <w:tcPr>
            <w:tcW w:type="dxa" w:w="1080"/>
          </w:tcPr>
          <w:p>
            <w:r>
              <w:rPr>
                <w:rFonts w:ascii="Calibri" w:hAnsi="Calibri"/>
                <w:sz w:val="22"/>
              </w:rPr>
              <w:t>$3,203M</w:t>
            </w:r>
          </w:p>
        </w:tc>
        <w:tc>
          <w:tcPr>
            <w:tcW w:type="dxa" w:w="1080"/>
          </w:tcPr>
          <w:p>
            <w:r>
              <w:rPr>
                <w:rFonts w:ascii="Calibri" w:hAnsi="Calibri"/>
                <w:b/>
                <w:color w:val="30A46C"/>
                <w:sz w:val="22"/>
              </w:rPr>
              <w:t>+2.6%</w:t>
            </w:r>
          </w:p>
        </w:tc>
        <w:tc>
          <w:tcPr>
            <w:tcW w:type="dxa" w:w="1080"/>
          </w:tcPr>
          <w:p>
            <w:r>
              <w:rPr>
                <w:rFonts w:ascii="Calibri" w:hAnsi="Calibri"/>
                <w:sz w:val="22"/>
              </w:rPr>
              <w:t>~$3.2B (4-year plan)</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In-line</w:t>
            </w:r>
          </w:p>
        </w:tc>
      </w:tr>
    </w:tbl>
    <w:p>
      <w:r>
        <w:rPr>
          <w:rFonts w:ascii="Calibri" w:hAnsi="Calibri"/>
          <w:i/>
          <w:color w:val="525866"/>
          <w:sz w:val="22"/>
        </w:rPr>
        <w:t>Source: Visible Alpha Consensus and Actuals Data; LNT Q1 2026 Earnings Call Transcript (May 1, 2026).</w:t>
      </w:r>
    </w:p>
    <w:p>
      <w:r>
        <w:rPr>
          <w:rFonts w:ascii="Calibri" w:hAnsi="Calibri"/>
          <w:color w:val="525866"/>
          <w:sz w:val="22"/>
        </w:rPr>
        <w:t>The sharp Q2 EPS revision (−15.4%) reflects seasonal normalization and weather assumptions rather than any guidance change — the full-year consensus has barely moved (+0.0%), confirming the street is simply re-phasing earnings within the year. The Q3 resource plan refresh remains the key event that could drive upward revisions to FY 2027+ estimates.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LNT outperformed XLU and the S&amp;P 500 for most of the post-Q1 period on data center momentum, but has given back gains in the final month ahead of the print — the recent pullback appears sentiment/de-risking driven rather than multiple-driven, as the NTM P/E of ~20.7x remains at a modest premium to the utility peer group average.</w:t>
      </w:r>
    </w:p>
    <w:p>
      <w:r>
        <w:rPr>
          <w:rFonts w:ascii="Calibri" w:hAnsi="Calibri"/>
          <w:color w:val="525866"/>
          <w:sz w:val="22"/>
        </w:rPr>
        <w:t>Since the Q1 2026 earnings date (April 30, 2026), LNT rose from $73.43 to a peak of ~$78.03 (July 2) before pulling back to $73.79 as of July 28, 2026 — a net change of approximately +0.5% over the full period. By contrast, XLU (the utility sector ETF used as the sector benchmark) declined modestly over the same window, and the S&amp;P 500 gained approximately +3.1%. The stock’s 1-month performance of −6.7% underperforms both benchmarks, consistent with pre-earnings de-risking. Over the 12-month window, LNT is up +12.8%, with the NTM P/E multiple expanding from ~19.5x to ~20.7x — suggesting roughly half of the 12-month return has been multiple-driven, reflecting the market’s growing acceptance of the data center growth narrative. The current NTM P/E of 20.7x represents a ~14% premium to the utility peer group mean of ~18.1x, which is above LNT’s 3-year average premium of ~2.6%, indicating the stock is pricing in above-average growth expectations.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LNT vs. XLU vs. S&amp;P 500 — Indexed Performance Since Q1 2026 Earnings (April 30, 2026). Source: Yahoo Finance / Stock Price Data.</w:t>
      </w:r>
    </w:p>
    <w:p>
      <w:pPr>
        <w:pStyle w:val="Heading2"/>
      </w:pPr>
      <w:r>
        <w:rPr>
          <w:rFonts w:ascii="Calibri" w:hAnsi="Calibri"/>
          <w:b/>
          <w:color w:val="3B4259"/>
          <w:sz w:val="28"/>
        </w:rPr>
        <w:t>6. Peer Commentaries / Read-Throughs (Last 60 Days — Q2 2026 &amp; Forward Outlook Only)</w:t>
      </w:r>
    </w:p>
    <w:p>
      <w:r>
        <w:rPr>
          <w:rFonts w:ascii="Calibri" w:hAnsi="Calibri"/>
          <w:b/>
          <w:color w:val="525866"/>
          <w:sz w:val="22"/>
        </w:rPr>
        <w:t xml:space="preserve">Key Takeaway: </w:t>
      </w:r>
      <w:r>
        <w:rPr>
          <w:rFonts w:ascii="Calibri" w:hAnsi="Calibri"/>
          <w:color w:val="525866"/>
          <w:sz w:val="22"/>
        </w:rPr>
        <w:t>Peers reporting Q2 2026 results this week (NEE, WEC, ETR, DTE, CMS, FE) collectively reinforce three themes directly relevant to LNT: (1) data center demand is accelerating and pipelines are growing, (2) regulatory frameworks protecting existing customers from large-load cost shifts are being codified and are constructive, and (3) weather was a modest headwind in Q2 but full-year guidance is being reaffirmed across the board — all of which support LNT’s own guidance reaffirmation and data center growth narrative.</w:t>
      </w:r>
    </w:p>
    <w:p>
      <w:r>
        <w:rPr>
          <w:rFonts w:ascii="Calibri" w:hAnsi="Calibri"/>
          <w:b/>
          <w:color w:val="525866"/>
          <w:sz w:val="22"/>
        </w:rPr>
        <w:t xml:space="preserve">Note: </w:t>
      </w:r>
      <w:r>
        <w:rPr>
          <w:rFonts w:ascii="Calibri" w:hAnsi="Calibri"/>
          <w:i/>
          <w:color w:val="525866"/>
          <w:sz w:val="22"/>
        </w:rPr>
        <w:t>Only commentary from Q2 2026 earnings calls (reported July 22–29, 2026) and post-Q1 2026 developments (since May 30, 2026) is included below. Prior-quarter results commentary has been excluded.</w:t>
      </w:r>
    </w:p>
    <w:p>
      <w:pPr>
        <w:pStyle w:val="Heading3"/>
      </w:pPr>
      <w:r>
        <w:rPr>
          <w:rFonts w:ascii="Calibri" w:hAnsi="Calibri"/>
          <w:b/>
          <w:color w:val="3B4259"/>
          <w:sz w:val="24"/>
        </w:rPr>
        <w:t>NextEra Energy (NEE) — Q2 2026 Earnings Call (July 24, 2026)</w:t>
      </w:r>
    </w:p>
    <w:p>
      <w:pPr>
        <w:pStyle w:val="ListBullet"/>
        <w:ind w:left="360" w:hanging="360"/>
      </w:pPr>
      <w:r>
        <w:rPr>
          <w:rFonts w:ascii="Calibri" w:hAnsi="Calibri"/>
          <w:b/>
          <w:color w:val="525866"/>
          <w:sz w:val="22"/>
        </w:rPr>
        <w:t xml:space="preserve">Data center demand accelerating: </w:t>
      </w:r>
      <w:r>
        <w:rPr>
          <w:rFonts w:ascii="Calibri" w:hAnsi="Calibri"/>
          <w:color w:val="525866"/>
          <w:sz w:val="22"/>
        </w:rPr>
        <w:t xml:space="preserve">FPL updated its large-load expectations from 6 GW to 8 GW by 2032 as part of its new four-year rate agreement. FPL currently has ~21 GW of large-load interest, with 12 GW in advanced discussions. NEE continues to expect to announce at least one large-load transaction under FPL’s tariff by year-end. → </w:t>
      </w:r>
      <w:r>
        <w:rPr>
          <w:rFonts w:ascii="Calibri" w:hAnsi="Calibri"/>
          <w:b/>
          <w:color w:val="525866"/>
          <w:sz w:val="22"/>
        </w:rPr>
        <w:t xml:space="preserve">Read-through for LNT: </w:t>
      </w:r>
      <w:r>
        <w:rPr>
          <w:rFonts w:ascii="Calibri" w:hAnsi="Calibri"/>
          <w:color w:val="525866"/>
          <w:sz w:val="22"/>
        </w:rPr>
        <w:t>Validates the structural demand backdrop underpinning LNT’s 2–4 GW pipeline; hyperscaler appetite is not slowing.</w:t>
      </w:r>
    </w:p>
    <w:p>
      <w:pPr>
        <w:pStyle w:val="ListBullet"/>
        <w:ind w:left="360" w:hanging="360"/>
      </w:pPr>
      <w:r>
        <w:rPr>
          <w:rFonts w:ascii="Calibri" w:hAnsi="Calibri"/>
          <w:b/>
          <w:color w:val="525866"/>
          <w:sz w:val="22"/>
        </w:rPr>
        <w:t xml:space="preserve">Capital intensity per GW: </w:t>
      </w:r>
      <w:r>
        <w:rPr>
          <w:rFonts w:ascii="Calibri" w:hAnsi="Calibri"/>
          <w:color w:val="525866"/>
          <w:sz w:val="22"/>
        </w:rPr>
        <w:t xml:space="preserve">NEE noted that “each gigawatt of large load under FPL’s approved tariff is equivalent to roughly $2 billion of CapEx.” → </w:t>
      </w:r>
      <w:r>
        <w:rPr>
          <w:rFonts w:ascii="Calibri" w:hAnsi="Calibri"/>
          <w:b/>
          <w:color w:val="525866"/>
          <w:sz w:val="22"/>
        </w:rPr>
        <w:t xml:space="preserve">Read-through for LNT: </w:t>
      </w:r>
      <w:r>
        <w:rPr>
          <w:rFonts w:ascii="Calibri" w:hAnsi="Calibri"/>
          <w:color w:val="525866"/>
          <w:sz w:val="22"/>
        </w:rPr>
        <w:t>Provides a useful benchmark for sizing LNT’s incremental capital opportunity from its 2–4 GW pipeline.</w:t>
      </w:r>
    </w:p>
    <w:p>
      <w:pPr>
        <w:pStyle w:val="ListBullet"/>
        <w:ind w:left="360" w:hanging="360"/>
      </w:pPr>
      <w:r>
        <w:rPr>
          <w:rFonts w:ascii="Calibri" w:hAnsi="Calibri"/>
          <w:b/>
          <w:color w:val="525866"/>
          <w:sz w:val="22"/>
        </w:rPr>
        <w:t xml:space="preserve">Regulatory codification: </w:t>
      </w:r>
      <w:r>
        <w:rPr>
          <w:rFonts w:ascii="Calibri" w:hAnsi="Calibri"/>
          <w:color w:val="525866"/>
          <w:sz w:val="22"/>
        </w:rPr>
        <w:t xml:space="preserve">Florida’s governor signed a bill in May codifying many aspects of FPL’s large-load tariff into law, providing regulatory certainty for hyperscalers making multi-billion dollar investments. NEE and Dominion also announced support for the White House’s Ratepayer Protection Pledge. → </w:t>
      </w:r>
      <w:r>
        <w:rPr>
          <w:rFonts w:ascii="Calibri" w:hAnsi="Calibri"/>
          <w:b/>
          <w:color w:val="525866"/>
          <w:sz w:val="22"/>
        </w:rPr>
        <w:t xml:space="preserve">Read-through for LNT: </w:t>
      </w:r>
      <w:r>
        <w:rPr>
          <w:rFonts w:ascii="Calibri" w:hAnsi="Calibri"/>
          <w:color w:val="525866"/>
          <w:sz w:val="22"/>
        </w:rPr>
        <w:t>Constructive regulatory trend; LNT’s Iowa individual customer rate construct is already aligned with this principle.</w:t>
      </w:r>
    </w:p>
    <w:p>
      <w:pPr>
        <w:pStyle w:val="ListBullet"/>
        <w:ind w:left="360" w:hanging="360"/>
      </w:pPr>
      <w:r>
        <w:rPr>
          <w:rFonts w:ascii="Calibri" w:hAnsi="Calibri"/>
          <w:b/>
          <w:color w:val="525866"/>
          <w:sz w:val="22"/>
        </w:rPr>
        <w:t xml:space="preserve">FERC Section 206 show cause orders: </w:t>
      </w:r>
      <w:r>
        <w:rPr>
          <w:rFonts w:ascii="Calibri" w:hAnsi="Calibri"/>
          <w:color w:val="525866"/>
          <w:sz w:val="22"/>
        </w:rPr>
        <w:t xml:space="preserve">NEE believes FERC’s June orders “will create a market shift and generate strong demand for the ability to match load with generation” — a dynamic NEE has spent 18 months preparing for. → </w:t>
      </w:r>
      <w:r>
        <w:rPr>
          <w:rFonts w:ascii="Calibri" w:hAnsi="Calibri"/>
          <w:b/>
          <w:color w:val="525866"/>
          <w:sz w:val="22"/>
        </w:rPr>
        <w:t xml:space="preserve">Read-through for LNT: </w:t>
      </w:r>
      <w:r>
        <w:rPr>
          <w:rFonts w:ascii="Calibri" w:hAnsi="Calibri"/>
          <w:color w:val="525866"/>
          <w:sz w:val="22"/>
        </w:rPr>
        <w:t>LNT’s transmission-light, plug-and-ready strategy in Iowa is well-positioned for this shift.</w:t>
      </w:r>
    </w:p>
    <w:p>
      <w:pPr>
        <w:pStyle w:val="ListBullet"/>
        <w:ind w:left="360" w:hanging="360"/>
      </w:pPr>
      <w:r>
        <w:rPr>
          <w:rFonts w:ascii="Calibri" w:hAnsi="Calibri"/>
          <w:b/>
          <w:color w:val="525866"/>
          <w:sz w:val="22"/>
        </w:rPr>
        <w:t xml:space="preserve">FY 2026 guidance reaffirmed: </w:t>
      </w:r>
      <w:r>
        <w:rPr>
          <w:rFonts w:ascii="Calibri" w:hAnsi="Calibri"/>
          <w:color w:val="525866"/>
          <w:sz w:val="22"/>
        </w:rPr>
        <w:t xml:space="preserve">NEE’s 2026 adjusted EPS range of $3.92–$4.02 unchanged; targeting the high end. Long-term 8%+ EPS CAGR through 2032 maintained. → </w:t>
      </w:r>
      <w:r>
        <w:rPr>
          <w:rFonts w:ascii="Calibri" w:hAnsi="Calibri"/>
          <w:b/>
          <w:color w:val="525866"/>
          <w:sz w:val="22"/>
        </w:rPr>
        <w:t xml:space="preserve">Read-through for LNT: </w:t>
      </w:r>
      <w:r>
        <w:rPr>
          <w:rFonts w:ascii="Calibri" w:hAnsi="Calibri"/>
          <w:color w:val="525866"/>
          <w:sz w:val="22"/>
        </w:rPr>
        <w:t>Peer guidance stability supports LNT’s own reaffirmation.</w:t>
      </w:r>
    </w:p>
    <w:p>
      <w:pPr>
        <w:pStyle w:val="ListBullet"/>
        <w:ind w:left="360" w:hanging="360"/>
      </w:pPr>
      <w:r>
        <w:rPr>
          <w:rFonts w:ascii="Calibri" w:hAnsi="Calibri"/>
          <w:b/>
          <w:color w:val="525866"/>
          <w:sz w:val="22"/>
        </w:rPr>
        <w:t xml:space="preserve">NEE/Brookfield $100B data center campus (July 29, 2026): </w:t>
      </w:r>
      <w:r>
        <w:rPr>
          <w:rFonts w:ascii="Calibri" w:hAnsi="Calibri"/>
          <w:color w:val="525866"/>
          <w:sz w:val="22"/>
        </w:rPr>
        <w:t xml:space="preserve">NEE and Brookfield announced plans to develop a $100B data center campus at a former Kentucky uranium site, with NEE developing up to 2 GW of natural gas-fired power and 2.6 GW of battery storage. → </w:t>
      </w:r>
      <w:r>
        <w:rPr>
          <w:rFonts w:ascii="Calibri" w:hAnsi="Calibri"/>
          <w:b/>
          <w:color w:val="525866"/>
          <w:sz w:val="22"/>
        </w:rPr>
        <w:t xml:space="preserve">Read-through for LNT: </w:t>
      </w:r>
      <w:r>
        <w:rPr>
          <w:rFonts w:ascii="Calibri" w:hAnsi="Calibri"/>
          <w:color w:val="525866"/>
          <w:sz w:val="22"/>
        </w:rPr>
        <w:t>Reinforces the scale of hyperscaler investment in the Midwest; LNT’s Iowa footprint is geographically proximate to this activity.</w:t>
      </w:r>
    </w:p>
    <w:p>
      <w:pPr>
        <w:pStyle w:val="Heading3"/>
      </w:pPr>
      <w:r>
        <w:rPr>
          <w:rFonts w:ascii="Calibri" w:hAnsi="Calibri"/>
          <w:b/>
          <w:color w:val="3B4259"/>
          <w:sz w:val="24"/>
        </w:rPr>
        <w:t>WEC Energy Group (WEC) — Q2 2026 Earnings Call (July 29, 2026)</w:t>
      </w:r>
    </w:p>
    <w:p>
      <w:pPr>
        <w:pStyle w:val="ListBullet"/>
        <w:ind w:left="360" w:hanging="360"/>
      </w:pPr>
      <w:r>
        <w:rPr>
          <w:rFonts w:ascii="Calibri" w:hAnsi="Calibri"/>
          <w:b/>
          <w:color w:val="525866"/>
          <w:sz w:val="22"/>
        </w:rPr>
        <w:t xml:space="preserve">Microsoft data center operational: </w:t>
      </w:r>
      <w:r>
        <w:rPr>
          <w:rFonts w:ascii="Calibri" w:hAnsi="Calibri"/>
          <w:color w:val="525866"/>
          <w:sz w:val="22"/>
        </w:rPr>
        <w:t xml:space="preserve">The first Microsoft data center facility in Pleasant Prairie is “fully operational” with “electricity flowing and all substations moving ahead of schedule.” WEC is preparing to serve a forecasted demand increase of 2.6 GW in the I-94 corridor through 2030. → </w:t>
      </w:r>
      <w:r>
        <w:rPr>
          <w:rFonts w:ascii="Calibri" w:hAnsi="Calibri"/>
          <w:b/>
          <w:color w:val="525866"/>
          <w:sz w:val="22"/>
        </w:rPr>
        <w:t xml:space="preserve">Read-through for LNT: </w:t>
      </w:r>
      <w:r>
        <w:rPr>
          <w:rFonts w:ascii="Calibri" w:hAnsi="Calibri"/>
          <w:color w:val="525866"/>
          <w:sz w:val="22"/>
        </w:rPr>
        <w:t>Confirms that hyperscaler data centers in the Midwest are ramping on schedule — positive for LNT’s own construction timelines.</w:t>
      </w:r>
    </w:p>
    <w:p>
      <w:pPr>
        <w:pStyle w:val="ListBullet"/>
        <w:ind w:left="360" w:hanging="360"/>
      </w:pPr>
      <w:r>
        <w:rPr>
          <w:rFonts w:ascii="Calibri" w:hAnsi="Calibri"/>
          <w:b/>
          <w:color w:val="525866"/>
          <w:sz w:val="22"/>
        </w:rPr>
        <w:t xml:space="preserve">Vantage (Oracle) site progressing: </w:t>
      </w:r>
      <w:r>
        <w:rPr>
          <w:rFonts w:ascii="Calibri" w:hAnsi="Calibri"/>
          <w:color w:val="525866"/>
          <w:sz w:val="22"/>
        </w:rPr>
        <w:t xml:space="preserve">Construction continues on the initial phase of Vantage’s 670-acre site; first facility could come online as soon as late 2027. WEC forecasts 1.3 GW of demand from this site over the next five years, with potential to reach 3.5 GW over time. → </w:t>
      </w:r>
      <w:r>
        <w:rPr>
          <w:rFonts w:ascii="Calibri" w:hAnsi="Calibri"/>
          <w:b/>
          <w:color w:val="525866"/>
          <w:sz w:val="22"/>
        </w:rPr>
        <w:t xml:space="preserve">Read-through for LNT: </w:t>
      </w:r>
      <w:r>
        <w:rPr>
          <w:rFonts w:ascii="Calibri" w:hAnsi="Calibri"/>
          <w:color w:val="525866"/>
          <w:sz w:val="22"/>
        </w:rPr>
        <w:t>Demonstrates that large-scale data center projects in the Midwest are executing; LNT has three of its five ESAs under active construction.</w:t>
      </w:r>
    </w:p>
    <w:p>
      <w:pPr>
        <w:pStyle w:val="ListBullet"/>
        <w:ind w:left="360" w:hanging="360"/>
      </w:pPr>
      <w:r>
        <w:rPr>
          <w:rFonts w:ascii="Calibri" w:hAnsi="Calibri"/>
          <w:b/>
          <w:color w:val="525866"/>
          <w:sz w:val="22"/>
        </w:rPr>
        <w:t xml:space="preserve">VLC tariff approved: </w:t>
      </w:r>
      <w:r>
        <w:rPr>
          <w:rFonts w:ascii="Calibri" w:hAnsi="Calibri"/>
          <w:color w:val="525866"/>
          <w:sz w:val="22"/>
        </w:rPr>
        <w:t xml:space="preserve">Wisconsin PSC provided the written order for WEC’s Very Large Customer (VLC) tariff in May, ensuring VLCs “pay their full share of the cost.” Oracle remains committed to the project and is providing required financial security. → </w:t>
      </w:r>
      <w:r>
        <w:rPr>
          <w:rFonts w:ascii="Calibri" w:hAnsi="Calibri"/>
          <w:b/>
          <w:color w:val="525866"/>
          <w:sz w:val="22"/>
        </w:rPr>
        <w:t xml:space="preserve">Read-through for LNT: </w:t>
      </w:r>
      <w:r>
        <w:rPr>
          <w:rFonts w:ascii="Calibri" w:hAnsi="Calibri"/>
          <w:color w:val="525866"/>
          <w:sz w:val="22"/>
        </w:rPr>
        <w:t>Directly relevant — WEC’s Wisconsin VLC tariff framework mirrors LNT’s Iowa individual customer rate construct. Regulatory approval validates the model.</w:t>
      </w:r>
    </w:p>
    <w:p>
      <w:pPr>
        <w:pStyle w:val="ListBullet"/>
        <w:ind w:left="360" w:hanging="360"/>
      </w:pPr>
      <w:r>
        <w:rPr>
          <w:rFonts w:ascii="Calibri" w:hAnsi="Calibri"/>
          <w:b/>
          <w:color w:val="525866"/>
          <w:sz w:val="22"/>
        </w:rPr>
        <w:t xml:space="preserve">Wisconsin rate case on track: </w:t>
      </w:r>
      <w:r>
        <w:rPr>
          <w:rFonts w:ascii="Calibri" w:hAnsi="Calibri"/>
          <w:color w:val="525866"/>
          <w:sz w:val="22"/>
        </w:rPr>
        <w:t xml:space="preserve">WEC filed a rate request in April for forward-looking test years 2027–2028; staff and intervenor testimony due mid-August; final orders expected by year-end. → </w:t>
      </w:r>
      <w:r>
        <w:rPr>
          <w:rFonts w:ascii="Calibri" w:hAnsi="Calibri"/>
          <w:b/>
          <w:color w:val="525866"/>
          <w:sz w:val="22"/>
        </w:rPr>
        <w:t xml:space="preserve">Read-through for LNT: </w:t>
      </w:r>
      <w:r>
        <w:rPr>
          <w:rFonts w:ascii="Calibri" w:hAnsi="Calibri"/>
          <w:color w:val="525866"/>
          <w:sz w:val="22"/>
        </w:rPr>
        <w:t>LNT’s Wisconsin operations (WPL) face a similar regulatory calendar; WEC’s constructive process is a positive signal.</w:t>
      </w:r>
    </w:p>
    <w:p>
      <w:pPr>
        <w:pStyle w:val="ListBullet"/>
        <w:ind w:left="360" w:hanging="360"/>
      </w:pPr>
      <w:r>
        <w:rPr>
          <w:rFonts w:ascii="Calibri" w:hAnsi="Calibri"/>
          <w:b/>
          <w:color w:val="525866"/>
          <w:sz w:val="22"/>
        </w:rPr>
        <w:t xml:space="preserve">Q2 2026 weather headwind: </w:t>
      </w:r>
      <w:r>
        <w:rPr>
          <w:rFonts w:ascii="Calibri" w:hAnsi="Calibri"/>
          <w:color w:val="525866"/>
          <w:sz w:val="22"/>
        </w:rPr>
        <w:t xml:space="preserve">Weather negatively impacted WEC’s Q2 earnings by approximately $0.05 vs. normal conditions (3-cent negative impact in Q2 2026 vs. 2-cent positive in Q2 2025). FY 2026 guidance of $5.51–$5.61 reaffirmed assuming normal weather for the rest of the year. → </w:t>
      </w:r>
      <w:r>
        <w:rPr>
          <w:rFonts w:ascii="Calibri" w:hAnsi="Calibri"/>
          <w:b/>
          <w:color w:val="525866"/>
          <w:sz w:val="22"/>
        </w:rPr>
        <w:t xml:space="preserve">Read-through for LNT: </w:t>
      </w:r>
      <w:r>
        <w:rPr>
          <w:rFonts w:ascii="Calibri" w:hAnsi="Calibri"/>
          <w:color w:val="525866"/>
          <w:sz w:val="22"/>
        </w:rPr>
        <w:t>Weather was a headwind across the Midwest in Q2; LNT’s Q2 result may reflect similar dynamics (Q1 2026 already saw a ~$0.04/share weather headwind).</w:t>
      </w:r>
    </w:p>
    <w:p>
      <w:pPr>
        <w:pStyle w:val="ListBullet"/>
        <w:ind w:left="360" w:hanging="360"/>
      </w:pPr>
      <w:r>
        <w:rPr>
          <w:rFonts w:ascii="Calibri" w:hAnsi="Calibri"/>
          <w:b/>
          <w:color w:val="525866"/>
          <w:sz w:val="22"/>
        </w:rPr>
        <w:t xml:space="preserve">Q3 2026 guidance: </w:t>
      </w:r>
      <w:r>
        <w:rPr>
          <w:rFonts w:ascii="Calibri" w:hAnsi="Calibri"/>
          <w:color w:val="525866"/>
          <w:sz w:val="22"/>
        </w:rPr>
        <w:t xml:space="preserve">WEC guided Q3 2026 EPS to $0.92–$0.98, accounting for July weather and assuming normal weather for the rest of the quarter. → </w:t>
      </w:r>
      <w:r>
        <w:rPr>
          <w:rFonts w:ascii="Calibri" w:hAnsi="Calibri"/>
          <w:b/>
          <w:color w:val="525866"/>
          <w:sz w:val="22"/>
        </w:rPr>
        <w:t xml:space="preserve">Read-through for LNT: </w:t>
      </w:r>
      <w:r>
        <w:rPr>
          <w:rFonts w:ascii="Calibri" w:hAnsi="Calibri"/>
          <w:color w:val="525866"/>
          <w:sz w:val="22"/>
        </w:rPr>
        <w:t>Provides a useful seasonal reference point; LNT’s Q3 is typically its strongest quarter.</w:t>
      </w:r>
    </w:p>
    <w:p>
      <w:pPr>
        <w:pStyle w:val="ListBullet"/>
        <w:ind w:left="360" w:hanging="360"/>
      </w:pPr>
      <w:r>
        <w:rPr>
          <w:rFonts w:ascii="Calibri" w:hAnsi="Calibri"/>
          <w:b/>
          <w:color w:val="525866"/>
          <w:sz w:val="22"/>
        </w:rPr>
        <w:t xml:space="preserve">Updated capital plan at Q3: </w:t>
      </w:r>
      <w:r>
        <w:rPr>
          <w:rFonts w:ascii="Calibri" w:hAnsi="Calibri"/>
          <w:color w:val="525866"/>
          <w:sz w:val="22"/>
        </w:rPr>
        <w:t xml:space="preserve">WEC is “updating our next capital plan” and will share details on the Q3 call. → </w:t>
      </w:r>
      <w:r>
        <w:rPr>
          <w:rFonts w:ascii="Calibri" w:hAnsi="Calibri"/>
          <w:b/>
          <w:color w:val="525866"/>
          <w:sz w:val="22"/>
        </w:rPr>
        <w:t xml:space="preserve">Read-through for LNT: </w:t>
      </w:r>
      <w:r>
        <w:rPr>
          <w:rFonts w:ascii="Calibri" w:hAnsi="Calibri"/>
          <w:color w:val="525866"/>
          <w:sz w:val="22"/>
        </w:rPr>
        <w:t>LNT is also expected to provide a capital plan update at Q3 (resource plan refresh); WEC’s precedent suggests the market will be receptive to upward revisions.</w:t>
      </w:r>
    </w:p>
    <w:p>
      <w:pPr>
        <w:pStyle w:val="Heading3"/>
      </w:pPr>
      <w:r>
        <w:rPr>
          <w:rFonts w:ascii="Calibri" w:hAnsi="Calibri"/>
          <w:b/>
          <w:color w:val="3B4259"/>
          <w:sz w:val="24"/>
        </w:rPr>
        <w:t>Entergy (ETR) — Q2 2026 Earnings Call (July 29, 2026)</w:t>
      </w:r>
    </w:p>
    <w:p>
      <w:pPr>
        <w:pStyle w:val="ListBullet"/>
        <w:ind w:left="360" w:hanging="360"/>
      </w:pPr>
      <w:r>
        <w:rPr>
          <w:rFonts w:ascii="Calibri" w:hAnsi="Calibri"/>
          <w:b/>
          <w:color w:val="525866"/>
          <w:sz w:val="22"/>
        </w:rPr>
        <w:t xml:space="preserve">Data center pipeline growing: </w:t>
      </w:r>
      <w:r>
        <w:rPr>
          <w:rFonts w:ascii="Calibri" w:hAnsi="Calibri"/>
          <w:color w:val="525866"/>
          <w:sz w:val="22"/>
        </w:rPr>
        <w:t xml:space="preserve">ETR continues to have a pipeline of 7–12 GW of hyperscale data center potential, plus 3–5 GW of traditional industrial interest. “Since Investor Day, interest in potential large-scale projects throughout our service area has continued to grow.” → </w:t>
      </w:r>
      <w:r>
        <w:rPr>
          <w:rFonts w:ascii="Calibri" w:hAnsi="Calibri"/>
          <w:b/>
          <w:color w:val="525866"/>
          <w:sz w:val="22"/>
        </w:rPr>
        <w:t xml:space="preserve">Read-through for LNT: </w:t>
      </w:r>
      <w:r>
        <w:rPr>
          <w:rFonts w:ascii="Calibri" w:hAnsi="Calibri"/>
          <w:color w:val="525866"/>
          <w:sz w:val="22"/>
        </w:rPr>
        <w:t>Broad-based demand growth across the Gulf South corridor; LNT’s Midwest pipeline is similarly active.</w:t>
      </w:r>
    </w:p>
    <w:p>
      <w:pPr>
        <w:pStyle w:val="ListBullet"/>
        <w:ind w:left="360" w:hanging="360"/>
      </w:pPr>
      <w:r>
        <w:rPr>
          <w:rFonts w:ascii="Calibri" w:hAnsi="Calibri"/>
          <w:b/>
          <w:color w:val="525866"/>
          <w:sz w:val="22"/>
        </w:rPr>
        <w:t xml:space="preserve">Fair Share Plus pledge: </w:t>
      </w:r>
      <w:r>
        <w:rPr>
          <w:rFonts w:ascii="Calibri" w:hAnsi="Calibri"/>
          <w:color w:val="525866"/>
          <w:sz w:val="22"/>
        </w:rPr>
        <w:t xml:space="preserve">ETR’s “Fair Share Plus” framework ensures data centers pay the full cost to serve them and their fair share of fixed costs; projected $7B in customer bill benefits. Louisiana Governor signed an executive order in late June requiring new data centers to provide customer benefits. → </w:t>
      </w:r>
      <w:r>
        <w:rPr>
          <w:rFonts w:ascii="Calibri" w:hAnsi="Calibri"/>
          <w:b/>
          <w:color w:val="525866"/>
          <w:sz w:val="22"/>
        </w:rPr>
        <w:t xml:space="preserve">Read-through for LNT: </w:t>
      </w:r>
      <w:r>
        <w:rPr>
          <w:rFonts w:ascii="Calibri" w:hAnsi="Calibri"/>
          <w:color w:val="525866"/>
          <w:sz w:val="22"/>
        </w:rPr>
        <w:t>Regulatory trend toward cost-responsibility frameworks is consistent with LNT’s Iowa individual customer rate model.</w:t>
      </w:r>
    </w:p>
    <w:p>
      <w:pPr>
        <w:pStyle w:val="ListBullet"/>
        <w:ind w:left="360" w:hanging="360"/>
      </w:pPr>
      <w:r>
        <w:rPr>
          <w:rFonts w:ascii="Calibri" w:hAnsi="Calibri"/>
          <w:b/>
          <w:color w:val="525866"/>
          <w:sz w:val="22"/>
        </w:rPr>
        <w:t xml:space="preserve">Q2 2026 weather near-normal: </w:t>
      </w:r>
      <w:r>
        <w:rPr>
          <w:rFonts w:ascii="Calibri" w:hAnsi="Calibri"/>
          <w:color w:val="525866"/>
          <w:sz w:val="22"/>
        </w:rPr>
        <w:t xml:space="preserve">ETR’s Q2 adjusted EPS was slightly lower than Q2 2025 because “weather was close to normal compared to warmer weather in 2025.” Excluding weather, retail sales growth was positive, driven by 10% industrial sales growth. → </w:t>
      </w:r>
      <w:r>
        <w:rPr>
          <w:rFonts w:ascii="Calibri" w:hAnsi="Calibri"/>
          <w:b/>
          <w:color w:val="525866"/>
          <w:sz w:val="22"/>
        </w:rPr>
        <w:t xml:space="preserve">Read-through for LNT: </w:t>
      </w:r>
      <w:r>
        <w:rPr>
          <w:rFonts w:ascii="Calibri" w:hAnsi="Calibri"/>
          <w:color w:val="525866"/>
          <w:sz w:val="22"/>
        </w:rPr>
        <w:t>Confirms weather normalization was a sector-wide Q2 headwind; underlying demand trends remain strong.</w:t>
      </w:r>
    </w:p>
    <w:p>
      <w:pPr>
        <w:pStyle w:val="ListBullet"/>
        <w:ind w:left="360" w:hanging="360"/>
      </w:pPr>
      <w:r>
        <w:rPr>
          <w:rFonts w:ascii="Calibri" w:hAnsi="Calibri"/>
          <w:b/>
          <w:color w:val="525866"/>
          <w:sz w:val="22"/>
        </w:rPr>
        <w:t xml:space="preserve">FY 2026 guidance affirmed: </w:t>
      </w:r>
      <w:r>
        <w:rPr>
          <w:rFonts w:ascii="Calibri" w:hAnsi="Calibri"/>
          <w:color w:val="525866"/>
          <w:sz w:val="22"/>
        </w:rPr>
        <w:t xml:space="preserve">ETR affirmed its 2026 adjusted EPS guidance and outlooks through 2030. Majority of year-over-year earnings increase expected in Q4 due to “flex spending.” → </w:t>
      </w:r>
      <w:r>
        <w:rPr>
          <w:rFonts w:ascii="Calibri" w:hAnsi="Calibri"/>
          <w:b/>
          <w:color w:val="525866"/>
          <w:sz w:val="22"/>
        </w:rPr>
        <w:t xml:space="preserve">Read-through for LNT: </w:t>
      </w:r>
      <w:r>
        <w:rPr>
          <w:rFonts w:ascii="Calibri" w:hAnsi="Calibri"/>
          <w:color w:val="525866"/>
          <w:sz w:val="22"/>
        </w:rPr>
        <w:t>Back-half weighted earnings profile is a sector-wide pattern; supports LNT’s full-year guidance reaffirmation.</w:t>
      </w:r>
    </w:p>
    <w:p>
      <w:pPr>
        <w:pStyle w:val="Heading3"/>
      </w:pPr>
      <w:r>
        <w:rPr>
          <w:rFonts w:ascii="Calibri" w:hAnsi="Calibri"/>
          <w:b/>
          <w:color w:val="3B4259"/>
          <w:sz w:val="24"/>
        </w:rPr>
        <w:t>DTE Energy (DTE) — Q2 2026 Earnings Call (July 28, 2026)</w:t>
      </w:r>
    </w:p>
    <w:p>
      <w:pPr>
        <w:pStyle w:val="ListBullet"/>
        <w:ind w:left="360" w:hanging="360"/>
      </w:pPr>
      <w:r>
        <w:rPr>
          <w:rFonts w:ascii="Calibri" w:hAnsi="Calibri"/>
          <w:b/>
          <w:color w:val="525866"/>
          <w:sz w:val="22"/>
        </w:rPr>
        <w:t xml:space="preserve">Oracle data center on track: </w:t>
      </w:r>
      <w:r>
        <w:rPr>
          <w:rFonts w:ascii="Calibri" w:hAnsi="Calibri"/>
          <w:color w:val="525866"/>
          <w:sz w:val="22"/>
        </w:rPr>
        <w:t xml:space="preserve">DTE’s 1.4 GW Oracle data center is “fully approved and under construction” with “all positive indicators that Oracle and related companies are on track for the fast ramp.” Once fully ramped, Oracle is expected to provide ~$300M of annual benefits for existing customers. → </w:t>
      </w:r>
      <w:r>
        <w:rPr>
          <w:rFonts w:ascii="Calibri" w:hAnsi="Calibri"/>
          <w:b/>
          <w:color w:val="525866"/>
          <w:sz w:val="22"/>
        </w:rPr>
        <w:t xml:space="preserve">Read-through for LNT: </w:t>
      </w:r>
      <w:r>
        <w:rPr>
          <w:rFonts w:ascii="Calibri" w:hAnsi="Calibri"/>
          <w:color w:val="525866"/>
          <w:sz w:val="22"/>
        </w:rPr>
        <w:t>Confirms that large-scale data center construction is executing on schedule in the Midwest; LNT has three ESAs under active construction.</w:t>
      </w:r>
    </w:p>
    <w:p>
      <w:pPr>
        <w:pStyle w:val="ListBullet"/>
        <w:ind w:left="360" w:hanging="360"/>
      </w:pPr>
      <w:r>
        <w:rPr>
          <w:rFonts w:ascii="Calibri" w:hAnsi="Calibri"/>
          <w:b/>
          <w:color w:val="525866"/>
          <w:sz w:val="22"/>
        </w:rPr>
        <w:t xml:space="preserve">Google 1 GW agreement advancing: </w:t>
      </w:r>
      <w:r>
        <w:rPr>
          <w:rFonts w:ascii="Calibri" w:hAnsi="Calibri"/>
          <w:color w:val="525866"/>
          <w:sz w:val="22"/>
        </w:rPr>
        <w:t xml:space="preserve">DTE’s Google data center agreement is advancing through the Michigan PSC approval process (expected September 2026) and “represents upside to our current long-term plan.” Google is expected to generate ~$1.7B in benefits over the life of the contract. → </w:t>
      </w:r>
      <w:r>
        <w:rPr>
          <w:rFonts w:ascii="Calibri" w:hAnsi="Calibri"/>
          <w:b/>
          <w:color w:val="525866"/>
          <w:sz w:val="22"/>
        </w:rPr>
        <w:t xml:space="preserve">Read-through for LNT: </w:t>
      </w:r>
      <w:r>
        <w:rPr>
          <w:rFonts w:ascii="Calibri" w:hAnsi="Calibri"/>
          <w:color w:val="525866"/>
          <w:sz w:val="22"/>
        </w:rPr>
        <w:t>Demonstrates that new ESA announcements can be material upside catalysts; LNT’s 2–4 GW pipeline could drive similar upside.</w:t>
      </w:r>
    </w:p>
    <w:p>
      <w:pPr>
        <w:pStyle w:val="ListBullet"/>
        <w:ind w:left="360" w:hanging="360"/>
      </w:pPr>
      <w:r>
        <w:rPr>
          <w:rFonts w:ascii="Calibri" w:hAnsi="Calibri"/>
          <w:b/>
          <w:color w:val="525866"/>
          <w:sz w:val="22"/>
        </w:rPr>
        <w:t xml:space="preserve">Pipeline of 5–6 GW beyond executed agreements: </w:t>
      </w:r>
      <w:r>
        <w:rPr>
          <w:rFonts w:ascii="Calibri" w:hAnsi="Calibri"/>
          <w:color w:val="525866"/>
          <w:sz w:val="22"/>
        </w:rPr>
        <w:t xml:space="preserve">DTE sees 5–6 GW of additional opportunities, including ~2 GW in advanced discussions, with a target of reaching another agreement by year-end 2026. → </w:t>
      </w:r>
      <w:r>
        <w:rPr>
          <w:rFonts w:ascii="Calibri" w:hAnsi="Calibri"/>
          <w:b/>
          <w:color w:val="525866"/>
          <w:sz w:val="22"/>
        </w:rPr>
        <w:t xml:space="preserve">Read-through for LNT: </w:t>
      </w:r>
      <w:r>
        <w:rPr>
          <w:rFonts w:ascii="Calibri" w:hAnsi="Calibri"/>
          <w:color w:val="525866"/>
          <w:sz w:val="22"/>
        </w:rPr>
        <w:t>Peer pipeline activity is robust; LNT’s 2–4 GW pipeline is credible in this context.</w:t>
      </w:r>
    </w:p>
    <w:p>
      <w:pPr>
        <w:pStyle w:val="ListBullet"/>
        <w:ind w:left="360" w:hanging="360"/>
      </w:pPr>
      <w:r>
        <w:rPr>
          <w:rFonts w:ascii="Calibri" w:hAnsi="Calibri"/>
          <w:b/>
          <w:color w:val="525866"/>
          <w:sz w:val="22"/>
        </w:rPr>
        <w:t xml:space="preserve">Data center load = downward pressure on rates: </w:t>
      </w:r>
      <w:r>
        <w:rPr>
          <w:rFonts w:ascii="Calibri" w:hAnsi="Calibri"/>
          <w:color w:val="525866"/>
          <w:sz w:val="22"/>
        </w:rPr>
        <w:t xml:space="preserve">DTE emphasized that “data center load growth done right puts downward pressure on rates” — a key regulatory selling point. The Oracle load ramp could support a rate case “stay out” until at least 2028. → </w:t>
      </w:r>
      <w:r>
        <w:rPr>
          <w:rFonts w:ascii="Calibri" w:hAnsi="Calibri"/>
          <w:b/>
          <w:color w:val="525866"/>
          <w:sz w:val="22"/>
        </w:rPr>
        <w:t xml:space="preserve">Read-through for LNT: </w:t>
      </w:r>
      <w:r>
        <w:rPr>
          <w:rFonts w:ascii="Calibri" w:hAnsi="Calibri"/>
          <w:color w:val="525866"/>
          <w:sz w:val="22"/>
        </w:rPr>
        <w:t>Directly validates LNT’s Iowa individual customer rate model and its affordability narrative.</w:t>
      </w:r>
    </w:p>
    <w:p>
      <w:pPr>
        <w:pStyle w:val="ListBullet"/>
        <w:ind w:left="360" w:hanging="360"/>
      </w:pPr>
      <w:r>
        <w:rPr>
          <w:rFonts w:ascii="Calibri" w:hAnsi="Calibri"/>
          <w:b/>
          <w:color w:val="525866"/>
          <w:sz w:val="22"/>
        </w:rPr>
        <w:t xml:space="preserve">FY 2026 guidance: </w:t>
      </w:r>
      <w:r>
        <w:rPr>
          <w:rFonts w:ascii="Calibri" w:hAnsi="Calibri"/>
          <w:color w:val="525866"/>
          <w:sz w:val="22"/>
        </w:rPr>
        <w:t xml:space="preserve">DTE is “on track to reach the high end of our operating EPS guidance this year” (6–8% growth off 2025 guidance midpoint). → </w:t>
      </w:r>
      <w:r>
        <w:rPr>
          <w:rFonts w:ascii="Calibri" w:hAnsi="Calibri"/>
          <w:b/>
          <w:color w:val="525866"/>
          <w:sz w:val="22"/>
        </w:rPr>
        <w:t xml:space="preserve">Read-through for LNT: </w:t>
      </w:r>
      <w:r>
        <w:rPr>
          <w:rFonts w:ascii="Calibri" w:hAnsi="Calibri"/>
          <w:color w:val="525866"/>
          <w:sz w:val="22"/>
        </w:rPr>
        <w:t>Peer guidance confidence is high; supports LNT’s own reaffirmation.</w:t>
      </w:r>
    </w:p>
    <w:p>
      <w:pPr>
        <w:pStyle w:val="Heading3"/>
      </w:pPr>
      <w:r>
        <w:rPr>
          <w:rFonts w:ascii="Calibri" w:hAnsi="Calibri"/>
          <w:b/>
          <w:color w:val="3B4259"/>
          <w:sz w:val="24"/>
        </w:rPr>
        <w:t>CMS Energy (CMS) — Q2 2026 Earnings Call (July 28, 2026)</w:t>
      </w:r>
    </w:p>
    <w:p>
      <w:pPr>
        <w:pStyle w:val="ListBullet"/>
        <w:ind w:left="360" w:hanging="360"/>
      </w:pPr>
      <w:r>
        <w:rPr>
          <w:rFonts w:ascii="Calibri" w:hAnsi="Calibri"/>
          <w:b/>
          <w:color w:val="525866"/>
          <w:sz w:val="22"/>
        </w:rPr>
        <w:t xml:space="preserve">Large-load tariff agreement reached: </w:t>
      </w:r>
      <w:r>
        <w:rPr>
          <w:rFonts w:ascii="Calibri" w:hAnsi="Calibri"/>
          <w:color w:val="525866"/>
          <w:sz w:val="22"/>
        </w:rPr>
        <w:t xml:space="preserve">CMS reached an agreement under its large-load tariff (including both an Extraordinary Facilities Agreement and a rate agreement) with a data center customer. The tariff “ensures new large load customers bear all costs to serve them.” Every new GW of large load signed under the tariff equates to ~$7.50/month of bill benefit for the average residential electric customer. → </w:t>
      </w:r>
      <w:r>
        <w:rPr>
          <w:rFonts w:ascii="Calibri" w:hAnsi="Calibri"/>
          <w:b/>
          <w:color w:val="525866"/>
          <w:sz w:val="22"/>
        </w:rPr>
        <w:t xml:space="preserve">Read-through for LNT: </w:t>
      </w:r>
      <w:r>
        <w:rPr>
          <w:rFonts w:ascii="Calibri" w:hAnsi="Calibri"/>
          <w:color w:val="525866"/>
          <w:sz w:val="22"/>
        </w:rPr>
        <w:t>Validates the customer affordability narrative that LNT uses to support its Iowa regulatory construct.</w:t>
      </w:r>
    </w:p>
    <w:p>
      <w:pPr>
        <w:pStyle w:val="ListBullet"/>
        <w:ind w:left="360" w:hanging="360"/>
      </w:pPr>
      <w:r>
        <w:rPr>
          <w:rFonts w:ascii="Calibri" w:hAnsi="Calibri"/>
          <w:b/>
          <w:color w:val="525866"/>
          <w:sz w:val="22"/>
        </w:rPr>
        <w:t xml:space="preserve">IRP filing moved to September: </w:t>
      </w:r>
      <w:r>
        <w:rPr>
          <w:rFonts w:ascii="Calibri" w:hAnsi="Calibri"/>
          <w:color w:val="525866"/>
          <w:sz w:val="22"/>
        </w:rPr>
        <w:t xml:space="preserve">CMS moved its IRP filing to September to reflect the recent data center agreement. The current capital plan does not yet reflect this load growth, indicating “continued upside opportunity.” → </w:t>
      </w:r>
      <w:r>
        <w:rPr>
          <w:rFonts w:ascii="Calibri" w:hAnsi="Calibri"/>
          <w:b/>
          <w:color w:val="525866"/>
          <w:sz w:val="22"/>
        </w:rPr>
        <w:t xml:space="preserve">Read-through for LNT: </w:t>
      </w:r>
      <w:r>
        <w:rPr>
          <w:rFonts w:ascii="Calibri" w:hAnsi="Calibri"/>
          <w:color w:val="525866"/>
          <w:sz w:val="22"/>
        </w:rPr>
        <w:t>LNT’s Q3 resource plan refresh is analogous; the market should expect upside to the current capital plan.</w:t>
      </w:r>
    </w:p>
    <w:p>
      <w:pPr>
        <w:pStyle w:val="ListBullet"/>
        <w:ind w:left="360" w:hanging="360"/>
      </w:pPr>
      <w:r>
        <w:rPr>
          <w:rFonts w:ascii="Calibri" w:hAnsi="Calibri"/>
          <w:b/>
          <w:color w:val="525866"/>
          <w:sz w:val="22"/>
        </w:rPr>
        <w:t xml:space="preserve">FY 2026 guidance reaffirmed; FY 2027 guidance introduced: </w:t>
      </w:r>
      <w:r>
        <w:rPr>
          <w:rFonts w:ascii="Calibri" w:hAnsi="Calibri"/>
          <w:color w:val="525866"/>
          <w:sz w:val="22"/>
        </w:rPr>
        <w:t xml:space="preserve">CMS reaffirmed FY 2026 guidance of $3.83–$3.90 with “continued confidence toward the high end.” FY 2027 guidance of $4.17 introduced (6–8% growth). → </w:t>
      </w:r>
      <w:r>
        <w:rPr>
          <w:rFonts w:ascii="Calibri" w:hAnsi="Calibri"/>
          <w:b/>
          <w:color w:val="525866"/>
          <w:sz w:val="22"/>
        </w:rPr>
        <w:t xml:space="preserve">Read-through for LNT: </w:t>
      </w:r>
      <w:r>
        <w:rPr>
          <w:rFonts w:ascii="Calibri" w:hAnsi="Calibri"/>
          <w:color w:val="525866"/>
          <w:sz w:val="22"/>
        </w:rPr>
        <w:t>Peer guidance visibility is increasing; LNT’s Q3 update is expected to provide similar forward clarity.</w:t>
      </w:r>
    </w:p>
    <w:p>
      <w:pPr>
        <w:pStyle w:val="ListBullet"/>
        <w:ind w:left="360" w:hanging="360"/>
      </w:pPr>
      <w:r>
        <w:rPr>
          <w:rFonts w:ascii="Calibri" w:hAnsi="Calibri"/>
          <w:b/>
          <w:color w:val="525866"/>
          <w:sz w:val="22"/>
        </w:rPr>
        <w:t xml:space="preserve">Northstar exit (non-utility renewables): </w:t>
      </w:r>
      <w:r>
        <w:rPr>
          <w:rFonts w:ascii="Calibri" w:hAnsi="Calibri"/>
          <w:color w:val="525866"/>
          <w:sz w:val="22"/>
        </w:rPr>
        <w:t xml:space="preserve">CMS is exiting non-utility renewables development to focus on its regulated business, reducing equity needs by at least $350M from the current plan. → </w:t>
      </w:r>
      <w:r>
        <w:rPr>
          <w:rFonts w:ascii="Calibri" w:hAnsi="Calibri"/>
          <w:b/>
          <w:color w:val="525866"/>
          <w:sz w:val="22"/>
        </w:rPr>
        <w:t xml:space="preserve">Read-through for LNT: </w:t>
      </w:r>
      <w:r>
        <w:rPr>
          <w:rFonts w:ascii="Calibri" w:hAnsi="Calibri"/>
          <w:color w:val="525866"/>
          <w:sz w:val="22"/>
        </w:rPr>
        <w:t>LNT is already a pure-play regulated utility; this peer move validates the premium valuation for regulated-only business models.</w:t>
      </w:r>
    </w:p>
    <w:p>
      <w:pPr>
        <w:pStyle w:val="Heading3"/>
      </w:pPr>
      <w:r>
        <w:rPr>
          <w:rFonts w:ascii="Calibri" w:hAnsi="Calibri"/>
          <w:b/>
          <w:color w:val="3B4259"/>
          <w:sz w:val="24"/>
        </w:rPr>
        <w:t>FirstEnergy (FE) — Q2 2026 Earnings Call (July 29, 2026)</w:t>
      </w:r>
    </w:p>
    <w:p>
      <w:pPr>
        <w:pStyle w:val="ListBullet"/>
        <w:ind w:left="360" w:hanging="360"/>
      </w:pPr>
      <w:r>
        <w:rPr>
          <w:rFonts w:ascii="Calibri" w:hAnsi="Calibri"/>
          <w:b/>
          <w:color w:val="525866"/>
          <w:sz w:val="22"/>
        </w:rPr>
        <w:t xml:space="preserve">Data center demand surging in service territory: </w:t>
      </w:r>
      <w:r>
        <w:rPr>
          <w:rFonts w:ascii="Calibri" w:hAnsi="Calibri"/>
          <w:color w:val="525866"/>
          <w:sz w:val="22"/>
        </w:rPr>
        <w:t xml:space="preserve">FE’s total forecasted data center demand has increased 30% since Q1 to approximately 25 GW. During Q2 alone, FE contracted an additional 2.1 GW, bringing total contracted demand to 6.4 GW. FE expects an additional 1.5 GW to enter contracts “in the next couple of weeks.” → </w:t>
      </w:r>
      <w:r>
        <w:rPr>
          <w:rFonts w:ascii="Calibri" w:hAnsi="Calibri"/>
          <w:b/>
          <w:color w:val="525866"/>
          <w:sz w:val="22"/>
        </w:rPr>
        <w:t xml:space="preserve">Read-through for LNT: </w:t>
      </w:r>
      <w:r>
        <w:rPr>
          <w:rFonts w:ascii="Calibri" w:hAnsi="Calibri"/>
          <w:color w:val="525866"/>
          <w:sz w:val="22"/>
        </w:rPr>
        <w:t>The pace of contracting across the sector is accelerating; LNT’s 2–4 GW pipeline could convert faster than the market expects.</w:t>
      </w:r>
    </w:p>
    <w:p>
      <w:pPr>
        <w:pStyle w:val="ListBullet"/>
        <w:ind w:left="360" w:hanging="360"/>
      </w:pPr>
      <w:r>
        <w:rPr>
          <w:rFonts w:ascii="Calibri" w:hAnsi="Calibri"/>
          <w:b/>
          <w:color w:val="525866"/>
          <w:sz w:val="22"/>
        </w:rPr>
        <w:t xml:space="preserve">West Virginia competitive advantage: </w:t>
      </w:r>
      <w:r>
        <w:rPr>
          <w:rFonts w:ascii="Calibri" w:hAnsi="Calibri"/>
          <w:color w:val="525866"/>
          <w:sz w:val="22"/>
        </w:rPr>
        <w:t xml:space="preserve">FE highlighted that West Virginia offers a “one-stop shop” advantage for data centers (utility provides both transmission and generation), similar to LNT’s Iowa plug-and-ready model. → </w:t>
      </w:r>
      <w:r>
        <w:rPr>
          <w:rFonts w:ascii="Calibri" w:hAnsi="Calibri"/>
          <w:b/>
          <w:color w:val="525866"/>
          <w:sz w:val="22"/>
        </w:rPr>
        <w:t xml:space="preserve">Read-through for LNT: </w:t>
      </w:r>
      <w:r>
        <w:rPr>
          <w:rFonts w:ascii="Calibri" w:hAnsi="Calibri"/>
          <w:color w:val="525866"/>
          <w:sz w:val="22"/>
        </w:rPr>
        <w:t>Validates LNT’s Iowa strategic positioning.</w:t>
      </w:r>
    </w:p>
    <w:p>
      <w:pPr>
        <w:pStyle w:val="ListBullet"/>
        <w:ind w:left="360" w:hanging="360"/>
      </w:pPr>
      <w:r>
        <w:rPr>
          <w:rFonts w:ascii="Calibri" w:hAnsi="Calibri"/>
          <w:b/>
          <w:color w:val="525866"/>
          <w:sz w:val="22"/>
        </w:rPr>
        <w:t xml:space="preserve">FY 2026 guidance reaffirmed: </w:t>
      </w:r>
      <w:r>
        <w:rPr>
          <w:rFonts w:ascii="Calibri" w:hAnsi="Calibri"/>
          <w:color w:val="525866"/>
          <w:sz w:val="22"/>
        </w:rPr>
        <w:t xml:space="preserve">FE reaffirmed its core earnings guidance range of $2.62–$2.82 per share and core earnings growth near the top end of 6–8% through 2030. → </w:t>
      </w:r>
      <w:r>
        <w:rPr>
          <w:rFonts w:ascii="Calibri" w:hAnsi="Calibri"/>
          <w:b/>
          <w:color w:val="525866"/>
          <w:sz w:val="22"/>
        </w:rPr>
        <w:t xml:space="preserve">Read-through for LNT: </w:t>
      </w:r>
      <w:r>
        <w:rPr>
          <w:rFonts w:ascii="Calibri" w:hAnsi="Calibri"/>
          <w:color w:val="525866"/>
          <w:sz w:val="22"/>
        </w:rPr>
        <w:t>Sector-wide guidance stability.</w:t>
      </w:r>
    </w:p>
    <w:p>
      <w:pPr>
        <w:pStyle w:val="ListBullet"/>
        <w:ind w:left="360" w:hanging="360"/>
      </w:pPr>
      <w:r>
        <w:rPr>
          <w:rFonts w:ascii="Calibri" w:hAnsi="Calibri"/>
          <w:b/>
          <w:color w:val="525866"/>
          <w:sz w:val="22"/>
        </w:rPr>
        <w:t xml:space="preserve">PJM capacity auction allocation: </w:t>
      </w:r>
      <w:r>
        <w:rPr>
          <w:rFonts w:ascii="Calibri" w:hAnsi="Calibri"/>
          <w:color w:val="525866"/>
          <w:sz w:val="22"/>
        </w:rPr>
        <w:t xml:space="preserve">FE is being allocated just 4% of the PJM backstop auction capacity (68–900 MW), which management views as “a really, really good outcome for our customers.” → </w:t>
      </w:r>
      <w:r>
        <w:rPr>
          <w:rFonts w:ascii="Calibri" w:hAnsi="Calibri"/>
          <w:b/>
          <w:color w:val="525866"/>
          <w:sz w:val="22"/>
        </w:rPr>
        <w:t xml:space="preserve">Read-through for LNT: </w:t>
      </w:r>
      <w:r>
        <w:rPr>
          <w:rFonts w:ascii="Calibri" w:hAnsi="Calibri"/>
          <w:color w:val="525866"/>
          <w:sz w:val="22"/>
        </w:rPr>
        <w:t>LNT operates in MISO (not PJM), but the principle of protecting existing customers from capacity cost allocation is consistent with LNT’s Iowa regulatory framework.</w:t>
      </w:r>
    </w:p>
    <w:p>
      <w:pPr>
        <w:pStyle w:val="Heading3"/>
      </w:pPr>
      <w:r>
        <w:rPr>
          <w:rFonts w:ascii="Calibri" w:hAnsi="Calibri"/>
          <w:b/>
          <w:color w:val="3B4259"/>
          <w:sz w:val="24"/>
        </w:rPr>
        <w:t>Xcel Energy (XEL) — Post-Q1 2026 Development (June 3, 2026)</w:t>
      </w:r>
    </w:p>
    <w:p>
      <w:pPr>
        <w:pStyle w:val="ListBullet"/>
        <w:ind w:left="360" w:hanging="360"/>
      </w:pPr>
      <w:r>
        <w:rPr>
          <w:rFonts w:ascii="Calibri" w:hAnsi="Calibri"/>
          <w:color w:val="525866"/>
          <w:sz w:val="22"/>
        </w:rPr>
        <w:t xml:space="preserve">XEL committed $60B to modernize its grid and meet surging data center demand, achieving carbon-free operations by mid-century. CEO Frenzel noted strategic partnerships (e.g., Google deal) are designed to keep customer costs down. → </w:t>
      </w:r>
      <w:r>
        <w:rPr>
          <w:rFonts w:ascii="Calibri" w:hAnsi="Calibri"/>
          <w:b/>
          <w:color w:val="525866"/>
          <w:sz w:val="22"/>
        </w:rPr>
        <w:t xml:space="preserve">Read-through for LNT: </w:t>
      </w:r>
      <w:r>
        <w:rPr>
          <w:rFonts w:ascii="Calibri" w:hAnsi="Calibri"/>
          <w:color w:val="525866"/>
          <w:sz w:val="22"/>
        </w:rPr>
        <w:t>Confirms that Midwest utilities are committing to large-scale capital programs to serve data center demand; LNT’s capital plan is consistent with this trend.</w:t>
      </w:r>
    </w:p>
    <w:p>
      <w:pPr>
        <w:pStyle w:val="Heading3"/>
      </w:pPr>
      <w:r>
        <w:rPr>
          <w:rFonts w:ascii="Calibri" w:hAnsi="Calibri"/>
          <w:b/>
          <w:color w:val="3B4259"/>
          <w:sz w:val="24"/>
        </w:rPr>
        <w:t>Entergy (ETR) — Investor Day (June 9, 2026)</w:t>
      </w:r>
    </w:p>
    <w:p>
      <w:pPr>
        <w:pStyle w:val="ListBullet"/>
        <w:ind w:left="360" w:hanging="360"/>
      </w:pPr>
      <w:r>
        <w:rPr>
          <w:rFonts w:ascii="Calibri" w:hAnsi="Calibri"/>
          <w:color w:val="525866"/>
          <w:sz w:val="22"/>
        </w:rPr>
        <w:t xml:space="preserve">ETR CEO Drew Marsh dismissed fears that AI data centers will raise residential electricity bills, highlighting a “Fair Share Plus” framework projected to save existing customers $7B. → </w:t>
      </w:r>
      <w:r>
        <w:rPr>
          <w:rFonts w:ascii="Calibri" w:hAnsi="Calibri"/>
          <w:b/>
          <w:color w:val="525866"/>
          <w:sz w:val="22"/>
        </w:rPr>
        <w:t xml:space="preserve">Read-through for LNT: </w:t>
      </w:r>
      <w:r>
        <w:rPr>
          <w:rFonts w:ascii="Calibri" w:hAnsi="Calibri"/>
          <w:color w:val="525866"/>
          <w:sz w:val="22"/>
        </w:rPr>
        <w:t>The regulatory narrative around data center cost allocation is becoming more constructive across the sector; LNT’s Iowa individual customer rate model is ahead of the curve.</w:t>
      </w:r>
    </w:p>
    <w:p>
      <w:pPr>
        <w:pStyle w:val="Heading3"/>
      </w:pPr>
      <w:r>
        <w:rPr>
          <w:rFonts w:ascii="Calibri" w:hAnsi="Calibri"/>
          <w:b/>
          <w:color w:val="3B4259"/>
          <w:sz w:val="24"/>
        </w:rPr>
        <w:t>Macro / Sector Read-Throughs (Post-May 30, 2026)</w:t>
      </w:r>
    </w:p>
    <w:p>
      <w:pPr>
        <w:pStyle w:val="ListBullet"/>
        <w:ind w:left="360" w:hanging="360"/>
      </w:pPr>
      <w:r>
        <w:rPr>
          <w:rFonts w:ascii="Calibri" w:hAnsi="Calibri"/>
          <w:b/>
          <w:color w:val="525866"/>
          <w:sz w:val="22"/>
        </w:rPr>
        <w:t xml:space="preserve">White House Ratepayer Protection Pledge (July 21–23, 2026): </w:t>
      </w:r>
      <w:r>
        <w:rPr>
          <w:rFonts w:ascii="Calibri" w:hAnsi="Calibri"/>
          <w:color w:val="525866"/>
          <w:sz w:val="22"/>
        </w:rPr>
        <w:t xml:space="preserve">Nearly 200 entities including NEE, Duke, Equinix, and Digital Realty committed to the pledge ensuring AI energy consumption doesn’t push up electric bills. → </w:t>
      </w:r>
      <w:r>
        <w:rPr>
          <w:rFonts w:ascii="Calibri" w:hAnsi="Calibri"/>
          <w:b/>
          <w:color w:val="525866"/>
          <w:sz w:val="22"/>
        </w:rPr>
        <w:t xml:space="preserve">Read-through for LNT: </w:t>
      </w:r>
      <w:r>
        <w:rPr>
          <w:rFonts w:ascii="Calibri" w:hAnsi="Calibri"/>
          <w:color w:val="525866"/>
          <w:sz w:val="22"/>
        </w:rPr>
        <w:t>Federal-level support for the cost-responsibility principle validates LNT’s Iowa regulatory construct.</w:t>
      </w:r>
    </w:p>
    <w:p>
      <w:pPr>
        <w:pStyle w:val="ListBullet"/>
        <w:ind w:left="360" w:hanging="360"/>
      </w:pPr>
      <w:r>
        <w:rPr>
          <w:rFonts w:ascii="Calibri" w:hAnsi="Calibri"/>
          <w:b/>
          <w:color w:val="525866"/>
          <w:sz w:val="22"/>
        </w:rPr>
        <w:t xml:space="preserve">PJM grid disturbance (July 22–25, 2026): </w:t>
      </w:r>
      <w:r>
        <w:rPr>
          <w:rFonts w:ascii="Calibri" w:hAnsi="Calibri"/>
          <w:color w:val="525866"/>
          <w:sz w:val="22"/>
        </w:rPr>
        <w:t xml:space="preserve">A power line failure caused 3+ GW of data centers to disconnect simultaneously, taking 10+ minutes for the grid to stabilize. Experts note such events are happening more frequently. → </w:t>
      </w:r>
      <w:r>
        <w:rPr>
          <w:rFonts w:ascii="Calibri" w:hAnsi="Calibri"/>
          <w:b/>
          <w:color w:val="525866"/>
          <w:sz w:val="22"/>
        </w:rPr>
        <w:t xml:space="preserve">Read-through for LNT: </w:t>
      </w:r>
      <w:r>
        <w:rPr>
          <w:rFonts w:ascii="Calibri" w:hAnsi="Calibri"/>
          <w:color w:val="525866"/>
          <w:sz w:val="22"/>
        </w:rPr>
        <w:t>Highlights the grid reliability premium of LNT’s plug-and-ready, transmission-light Iowa strategy; data centers increasingly value reliability over cost.</w:t>
      </w:r>
    </w:p>
    <w:p>
      <w:pPr>
        <w:pStyle w:val="ListBullet"/>
        <w:ind w:left="360" w:hanging="360"/>
      </w:pPr>
      <w:r>
        <w:rPr>
          <w:rFonts w:ascii="Calibri" w:hAnsi="Calibri"/>
          <w:b/>
          <w:color w:val="525866"/>
          <w:sz w:val="22"/>
        </w:rPr>
        <w:t xml:space="preserve">GE Vernova (GEV) Q2 2026 results (July 22, 2026): </w:t>
      </w:r>
      <w:r>
        <w:rPr>
          <w:rFonts w:ascii="Calibri" w:hAnsi="Calibri"/>
          <w:color w:val="525866"/>
          <w:sz w:val="22"/>
        </w:rPr>
        <w:t xml:space="preserve">GEV reported organic orders up 88% to $24.2B with backlog spiking; raised full-year revenue guidance to $45.5–46.5B. Commentary makes clear “the data center boom isn’t slowing one bit.” → </w:t>
      </w:r>
      <w:r>
        <w:rPr>
          <w:rFonts w:ascii="Calibri" w:hAnsi="Calibri"/>
          <w:b/>
          <w:color w:val="525866"/>
          <w:sz w:val="22"/>
        </w:rPr>
        <w:t xml:space="preserve">Read-through for LNT: </w:t>
      </w:r>
      <w:r>
        <w:rPr>
          <w:rFonts w:ascii="Calibri" w:hAnsi="Calibri"/>
          <w:color w:val="525866"/>
          <w:sz w:val="22"/>
        </w:rPr>
        <w:t>Equipment supply for new generation (CTs, batteries) is available and demand is robust; LNT’s contracted CT and battery program for data center load is well-timed.</w:t>
      </w:r>
    </w:p>
    <w:p>
      <w:pPr>
        <w:pStyle w:val="ListBullet"/>
        <w:ind w:left="360" w:hanging="360"/>
      </w:pPr>
      <w:r>
        <w:rPr>
          <w:rFonts w:ascii="Calibri" w:hAnsi="Calibri"/>
          <w:b/>
          <w:color w:val="525866"/>
          <w:sz w:val="22"/>
        </w:rPr>
        <w:t xml:space="preserve">Utility consolidation narrative (July 17, 2026): </w:t>
      </w:r>
      <w:r>
        <w:rPr>
          <w:rFonts w:ascii="Calibri" w:hAnsi="Calibri"/>
          <w:color w:val="525866"/>
          <w:sz w:val="22"/>
        </w:rPr>
        <w:t xml:space="preserve">Industry commentary suggests smaller utilities ($5–15B market cap) lacking balance sheet strength to meet AI-driven grid demands may consider mergers or PE transactions. → </w:t>
      </w:r>
      <w:r>
        <w:rPr>
          <w:rFonts w:ascii="Calibri" w:hAnsi="Calibri"/>
          <w:b/>
          <w:color w:val="525866"/>
          <w:sz w:val="22"/>
        </w:rPr>
        <w:t xml:space="preserve">Read-through for LNT: </w:t>
      </w:r>
      <w:r>
        <w:rPr>
          <w:rFonts w:ascii="Calibri" w:hAnsi="Calibri"/>
          <w:color w:val="525866"/>
          <w:sz w:val="22"/>
        </w:rPr>
        <w:t>LNT’s ~$10B market cap and strong equity financing execution (equity needs through 2027 already covered) position it as a self-sufficient growth story, not a consolidation target.</w:t>
      </w:r>
    </w:p>
    <w:p>
      <w:r>
        <w:br w:type="page"/>
      </w:r>
    </w:p>
    <w:p>
      <w:pPr>
        <w:pStyle w:val="Heading2"/>
      </w:pPr>
      <w:r>
        <w:rPr>
          <w:rFonts w:ascii="Calibri" w:hAnsi="Calibri"/>
          <w:b/>
          <w:color w:val="3B4259"/>
          <w:sz w:val="28"/>
        </w:rPr>
        <w:t>7. Material News &amp; Developments (Since April 30, 2026)</w:t>
      </w:r>
    </w:p>
    <w:p>
      <w:r>
        <w:rPr>
          <w:rFonts w:ascii="Calibri" w:hAnsi="Calibri"/>
          <w:b/>
          <w:color w:val="525866"/>
          <w:sz w:val="22"/>
        </w:rPr>
        <w:t xml:space="preserve">Key Takeaway: </w:t>
      </w:r>
      <w:r>
        <w:rPr>
          <w:rFonts w:ascii="Calibri" w:hAnsi="Calibri"/>
          <w:color w:val="525866"/>
          <w:sz w:val="22"/>
        </w:rPr>
        <w:t>The most important development since Q1 earnings is the April 2026 signing of a new 370 MW hyperscale ESA in Iowa, bringing total contracted demand to ~3.4 GW — a 60%+ increase in peak demand — and setting up the Q3 resource plan refresh as the next major catalyst for upward estimate revisions.</w:t>
      </w:r>
    </w:p>
    <w:p>
      <w:pPr>
        <w:pStyle w:val="ListBullet"/>
        <w:ind w:left="360" w:hanging="360"/>
      </w:pPr>
      <w:r>
        <w:rPr>
          <w:rFonts w:ascii="Calibri" w:hAnsi="Calibri"/>
          <w:b/>
          <w:color w:val="525866"/>
          <w:sz w:val="22"/>
        </w:rPr>
        <w:t xml:space="preserve">April 2026 — New 370 MW Hyperscale ESA Signed (Iowa): </w:t>
      </w:r>
      <w:r>
        <w:rPr>
          <w:rFonts w:ascii="Calibri" w:hAnsi="Calibri"/>
          <w:color w:val="525866"/>
          <w:sz w:val="22"/>
        </w:rPr>
        <w:t xml:space="preserve">Alliant executed a new 370 MW electric service agreement with a hyperscale customer in Iowa, with full load ramp expected by end of 2030. This brings total contracted demand to approximately 3.4 GW across five fully executed ESAs, with three under active construction. To support this ESA, LNT contracted with a third party to build a simple cycle CT of up to ~1.1 GW (in-service targeted for 2031). </w:t>
      </w:r>
      <w:r>
        <w:rPr>
          <w:rFonts w:ascii="Calibri" w:hAnsi="Calibri"/>
          <w:b/>
          <w:color w:val="525866"/>
          <w:sz w:val="22"/>
        </w:rPr>
        <w:t xml:space="preserve">Implication: </w:t>
      </w:r>
      <w:r>
        <w:rPr>
          <w:rFonts w:ascii="Calibri" w:hAnsi="Calibri"/>
          <w:color w:val="525866"/>
          <w:sz w:val="22"/>
        </w:rPr>
        <w:t>Directly adds to the capital plan and validates the Iowa pipeline; management will provide generation details and updated EPS trajectory at Q3.</w:t>
      </w:r>
    </w:p>
    <w:p>
      <w:pPr>
        <w:pStyle w:val="ListBullet"/>
        <w:ind w:left="360" w:hanging="360"/>
      </w:pPr>
      <w:r>
        <w:rPr>
          <w:rFonts w:ascii="Calibri" w:hAnsi="Calibri"/>
          <w:b/>
          <w:color w:val="525866"/>
          <w:sz w:val="22"/>
        </w:rPr>
        <w:t xml:space="preserve">April 2026 — Iowa Utility Commission Approves Wind Settlement: </w:t>
      </w:r>
      <w:r>
        <w:rPr>
          <w:rFonts w:ascii="Calibri" w:hAnsi="Calibri"/>
          <w:color w:val="525866"/>
          <w:sz w:val="22"/>
        </w:rPr>
        <w:t xml:space="preserve">The IUC approved the settlement for advanced rate-making principles for up to 1 GW of new wind generation at a blended ROE of 9.8% (updated annually through IPL’s base rate stabilization period). </w:t>
      </w:r>
      <w:r>
        <w:rPr>
          <w:rFonts w:ascii="Calibri" w:hAnsi="Calibri"/>
          <w:b/>
          <w:color w:val="525866"/>
          <w:sz w:val="22"/>
        </w:rPr>
        <w:t xml:space="preserve">Implication: </w:t>
      </w:r>
      <w:r>
        <w:rPr>
          <w:rFonts w:ascii="Calibri" w:hAnsi="Calibri"/>
          <w:color w:val="525866"/>
          <w:sz w:val="22"/>
        </w:rPr>
        <w:t>Constructive regulatory outcome; adds to the renewable generation pipeline alongside the CT program.</w:t>
      </w:r>
    </w:p>
    <w:p>
      <w:pPr>
        <w:pStyle w:val="ListBullet"/>
        <w:ind w:left="360" w:hanging="360"/>
      </w:pPr>
      <w:r>
        <w:rPr>
          <w:rFonts w:ascii="Calibri" w:hAnsi="Calibri"/>
          <w:b/>
          <w:color w:val="525866"/>
          <w:sz w:val="22"/>
        </w:rPr>
        <w:t xml:space="preserve">April 2026 — Iowa Docket Filed for 720 MW Natural Gas CT: </w:t>
      </w:r>
      <w:r>
        <w:rPr>
          <w:rFonts w:ascii="Calibri" w:hAnsi="Calibri"/>
          <w:color w:val="525866"/>
          <w:sz w:val="22"/>
        </w:rPr>
        <w:t xml:space="preserve">LNT filed an active Iowa docket for a 720 MW natural gas combustion turbine project. </w:t>
      </w:r>
      <w:r>
        <w:rPr>
          <w:rFonts w:ascii="Calibri" w:hAnsi="Calibri"/>
          <w:b/>
          <w:color w:val="525866"/>
          <w:sz w:val="22"/>
        </w:rPr>
        <w:t xml:space="preserve">Implication: </w:t>
      </w:r>
      <w:r>
        <w:rPr>
          <w:rFonts w:ascii="Calibri" w:hAnsi="Calibri"/>
          <w:color w:val="525866"/>
          <w:sz w:val="22"/>
        </w:rPr>
        <w:t>Incremental capital opportunity beyond the current plan; regulatory approval would be a positive catalyst.</w:t>
      </w:r>
    </w:p>
    <w:p>
      <w:pPr>
        <w:pStyle w:val="ListBullet"/>
        <w:ind w:left="360" w:hanging="360"/>
      </w:pPr>
      <w:r>
        <w:rPr>
          <w:rFonts w:ascii="Calibri" w:hAnsi="Calibri"/>
          <w:b/>
          <w:color w:val="525866"/>
          <w:sz w:val="22"/>
        </w:rPr>
        <w:t xml:space="preserve">April 2026 — S&amp;P Upgrades IPL Credit Rating to A−: </w:t>
      </w:r>
      <w:r>
        <w:rPr>
          <w:rFonts w:ascii="Calibri" w:hAnsi="Calibri"/>
          <w:color w:val="525866"/>
          <w:sz w:val="22"/>
        </w:rPr>
        <w:t xml:space="preserve">Standard &amp; Poor’s upgraded Interstate Power and Light Company’s credit rating from BBB+ to A−. </w:t>
      </w:r>
      <w:r>
        <w:rPr>
          <w:rFonts w:ascii="Calibri" w:hAnsi="Calibri"/>
          <w:b/>
          <w:color w:val="525866"/>
          <w:sz w:val="22"/>
        </w:rPr>
        <w:t xml:space="preserve">Implication: </w:t>
      </w:r>
      <w:r>
        <w:rPr>
          <w:rFonts w:ascii="Calibri" w:hAnsi="Calibri"/>
          <w:color w:val="525866"/>
          <w:sz w:val="22"/>
        </w:rPr>
        <w:t>Reduces financing costs and improves LNT’s ability to fund the capital plan efficiently.</w:t>
      </w:r>
    </w:p>
    <w:p>
      <w:pPr>
        <w:pStyle w:val="ListBullet"/>
        <w:ind w:left="360" w:hanging="360"/>
      </w:pPr>
      <w:r>
        <w:rPr>
          <w:rFonts w:ascii="Calibri" w:hAnsi="Calibri"/>
          <w:b/>
          <w:color w:val="525866"/>
          <w:sz w:val="22"/>
        </w:rPr>
        <w:t xml:space="preserve">April 2026 — WPL Data Center ESA Relocated to Iowa: </w:t>
      </w:r>
      <w:r>
        <w:rPr>
          <w:rFonts w:ascii="Calibri" w:hAnsi="Calibri"/>
          <w:color w:val="525866"/>
          <w:sz w:val="22"/>
        </w:rPr>
        <w:t xml:space="preserve">A previously executed WPL data center ESA was terminated and renegotiated as an IPL agreement after the customer selected an alternative location in Iowa. </w:t>
      </w:r>
      <w:r>
        <w:rPr>
          <w:rFonts w:ascii="Calibri" w:hAnsi="Calibri"/>
          <w:b/>
          <w:color w:val="525866"/>
          <w:sz w:val="22"/>
        </w:rPr>
        <w:t xml:space="preserve">Implication: </w:t>
      </w:r>
      <w:r>
        <w:rPr>
          <w:rFonts w:ascii="Calibri" w:hAnsi="Calibri"/>
          <w:color w:val="525866"/>
          <w:sz w:val="22"/>
        </w:rPr>
        <w:t>Demonstrates LNT’s operational agility and Iowa’s competitive advantage; no net loss of contracted demand.</w:t>
      </w:r>
    </w:p>
    <w:p>
      <w:pPr>
        <w:pStyle w:val="ListBullet"/>
        <w:ind w:left="360" w:hanging="360"/>
      </w:pPr>
      <w:r>
        <w:rPr>
          <w:rFonts w:ascii="Calibri" w:hAnsi="Calibri"/>
          <w:b/>
          <w:color w:val="525866"/>
          <w:sz w:val="22"/>
        </w:rPr>
        <w:t xml:space="preserve">Q1 2026 — New $1B ATM Program Filed: </w:t>
      </w:r>
      <w:r>
        <w:rPr>
          <w:rFonts w:ascii="Calibri" w:hAnsi="Calibri"/>
          <w:color w:val="525866"/>
          <w:sz w:val="22"/>
        </w:rPr>
        <w:t xml:space="preserve">LNT filed a new $1B at-the-market equity program to enable issuance of remaining equity needs through 2029 (~$1B remaining after $1.3B already raised via forward equity agreements). Equity needs through 2027 are fully covered. </w:t>
      </w:r>
      <w:r>
        <w:rPr>
          <w:rFonts w:ascii="Calibri" w:hAnsi="Calibri"/>
          <w:b/>
          <w:color w:val="525866"/>
          <w:sz w:val="22"/>
        </w:rPr>
        <w:t xml:space="preserve">Implication: </w:t>
      </w:r>
      <w:r>
        <w:rPr>
          <w:rFonts w:ascii="Calibri" w:hAnsi="Calibri"/>
          <w:color w:val="525866"/>
          <w:sz w:val="22"/>
        </w:rPr>
        <w:t>Financing plan is well-structured; dilution risk is manageable and well-telegraphed.</w:t>
      </w:r>
    </w:p>
    <w:p>
      <w:pPr>
        <w:pStyle w:val="ListBullet"/>
        <w:ind w:left="360" w:hanging="360"/>
      </w:pPr>
      <w:r>
        <w:rPr>
          <w:rFonts w:ascii="Calibri" w:hAnsi="Calibri"/>
          <w:b/>
          <w:color w:val="525866"/>
          <w:sz w:val="22"/>
        </w:rPr>
        <w:t xml:space="preserve">Q1 2026 — Wisconsin PSC Approves Bent Tree North Wind Project: </w:t>
      </w:r>
      <w:r>
        <w:rPr>
          <w:rFonts w:ascii="Calibri" w:hAnsi="Calibri"/>
          <w:color w:val="525866"/>
          <w:sz w:val="22"/>
        </w:rPr>
        <w:t xml:space="preserve">The PSC of Wisconsin approved the 153 MW Bent Tree North Wind project. </w:t>
      </w:r>
      <w:r>
        <w:rPr>
          <w:rFonts w:ascii="Calibri" w:hAnsi="Calibri"/>
          <w:b/>
          <w:color w:val="525866"/>
          <w:sz w:val="22"/>
        </w:rPr>
        <w:t xml:space="preserve">Implication: </w:t>
      </w:r>
      <w:r>
        <w:rPr>
          <w:rFonts w:ascii="Calibri" w:hAnsi="Calibri"/>
          <w:color w:val="525866"/>
          <w:sz w:val="22"/>
        </w:rPr>
        <w:t>Adds to the Wisconsin renewable generation pipeline; constructive regulatory outcome.</w:t>
      </w:r>
    </w:p>
    <w:p>
      <w:pPr>
        <w:pStyle w:val="ListBullet"/>
        <w:ind w:left="360" w:hanging="360"/>
      </w:pPr>
      <w:r>
        <w:rPr>
          <w:rFonts w:ascii="Calibri" w:hAnsi="Calibri"/>
          <w:b/>
          <w:color w:val="525866"/>
          <w:sz w:val="22"/>
        </w:rPr>
        <w:t xml:space="preserve">July 7, 2026 — Q2 2026 Earnings Date Announced: </w:t>
      </w:r>
      <w:r>
        <w:rPr>
          <w:rFonts w:ascii="Calibri" w:hAnsi="Calibri"/>
          <w:color w:val="525866"/>
          <w:sz w:val="22"/>
        </w:rPr>
        <w:t xml:space="preserve">LNT announced Q2 2026 earnings release for July 30, 2026 (after market close) with a conference call on July 31, 2026 at 9:00 a.m. CT, hosted by CEO Lisa Barton and CFO Robert Durian. </w:t>
      </w:r>
      <w:r>
        <w:rPr>
          <w:rFonts w:ascii="Calibri" w:hAnsi="Calibri"/>
          <w:b/>
          <w:color w:val="525866"/>
          <w:sz w:val="22"/>
        </w:rPr>
        <w:t xml:space="preserve">Implication: </w:t>
      </w:r>
      <w:r>
        <w:rPr>
          <w:rFonts w:ascii="Calibri" w:hAnsi="Calibri"/>
          <w:color w:val="525866"/>
          <w:sz w:val="22"/>
        </w:rPr>
        <w:t>Routine announcement; no incremental information.</w:t>
      </w:r>
    </w:p>
    <w:p>
      <w:pPr>
        <w:pStyle w:val="ListBullet"/>
        <w:ind w:left="360" w:hanging="360"/>
      </w:pPr>
      <w:r>
        <w:rPr>
          <w:rFonts w:ascii="Calibri" w:hAnsi="Calibri"/>
          <w:b/>
          <w:color w:val="525866"/>
          <w:sz w:val="22"/>
        </w:rPr>
        <w:t xml:space="preserve">Ongoing — Wisconsin Community/Regulatory Pushback on Data Centers: </w:t>
      </w:r>
      <w:r>
        <w:rPr>
          <w:rFonts w:ascii="Calibri" w:hAnsi="Calibri"/>
          <w:color w:val="525866"/>
          <w:sz w:val="22"/>
        </w:rPr>
        <w:t xml:space="preserve">Wisconsin faces active community and regulatory headwinds including local moratoriums, PSC transparency requirements on the Beaver Dam/Meta contract, and advocacy group opposition. Management characterizes this as “PJM spillover rhetoric” and affirms hyperscaler conversations continue in Wisconsin. </w:t>
      </w:r>
      <w:r>
        <w:rPr>
          <w:rFonts w:ascii="Calibri" w:hAnsi="Calibri"/>
          <w:b/>
          <w:color w:val="525866"/>
          <w:sz w:val="22"/>
        </w:rPr>
        <w:t xml:space="preserve">Implication: </w:t>
      </w:r>
      <w:r>
        <w:rPr>
          <w:rFonts w:ascii="Calibri" w:hAnsi="Calibri"/>
          <w:color w:val="525866"/>
          <w:sz w:val="22"/>
        </w:rPr>
        <w:t>An emerging execution risk in Wisconsin; Iowa remains the primary growth engine. Watch for any update on Wisconsin pipeline progress on the Q2 call.</w:t>
      </w:r>
    </w:p>
    <w:p>
      <w:pPr>
        <w:pStyle w:val="ListBullet"/>
        <w:ind w:left="360" w:hanging="360"/>
      </w:pPr>
      <w:r>
        <w:rPr>
          <w:rFonts w:ascii="Calibri" w:hAnsi="Calibri"/>
          <w:b/>
          <w:color w:val="525866"/>
          <w:sz w:val="22"/>
        </w:rPr>
        <w:t xml:space="preserve">Ongoing — FERC Self-Funded Network Interconnection Policy (Awaiting Decision): </w:t>
      </w:r>
      <w:r>
        <w:rPr>
          <w:rFonts w:ascii="Calibri" w:hAnsi="Calibri"/>
          <w:color w:val="525866"/>
          <w:sz w:val="22"/>
        </w:rPr>
        <w:t xml:space="preserve">FERC is considering a self-funded network interconnection upgrade policy; outcome could expand LNT’s opportunity set given the volume of new generation being added. </w:t>
      </w:r>
      <w:r>
        <w:rPr>
          <w:rFonts w:ascii="Calibri" w:hAnsi="Calibri"/>
          <w:b/>
          <w:color w:val="525866"/>
          <w:sz w:val="22"/>
        </w:rPr>
        <w:t xml:space="preserve">Implication: </w:t>
      </w:r>
      <w:r>
        <w:rPr>
          <w:rFonts w:ascii="Calibri" w:hAnsi="Calibri"/>
          <w:color w:val="525866"/>
          <w:sz w:val="22"/>
        </w:rPr>
        <w:t>Potential upside catalyst; no timeline for decision.</w:t>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insider purchases or discretionary sales were identified for LNT in the period since the Q1 2026 earnings release (April 30, 2026). The absence of insider buying is not unusual for a regulated utility with a stable, well-telegraphed growth outlook; the absence of discretionary selling is a mild positive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No reportable open-market transactions identified</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No Form 4 open-market buys (code P) or discretionary sales (code S) identified for LNT insiders in the period April 30 – July 29, 2026. Routine equity plan transactions (grants, vesting) may have occurred but are excluded per methodology.</w:t>
            </w:r>
          </w:p>
        </w:tc>
      </w:tr>
    </w:tbl>
    <w:p>
      <w:r>
        <w:rPr>
          <w:rFonts w:ascii="Calibri" w:hAnsi="Calibri"/>
          <w:i/>
          <w:color w:val="525866"/>
          <w:sz w:val="22"/>
        </w:rPr>
        <w:t>Source: SEC Form 4 Filings Database.</w:t>
      </w:r>
    </w:p>
    <w:p>
      <w:pPr>
        <w:pStyle w:val="Heading2"/>
      </w:pPr>
      <w:r>
        <w:rPr>
          <w:rFonts w:ascii="Calibri" w:hAnsi="Calibri"/>
          <w:b/>
          <w:color w:val="3B4259"/>
          <w:sz w:val="28"/>
        </w:rPr>
        <w:t>Appendix: Key Valuation Context</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Metric</w:t>
            </w:r>
          </w:p>
        </w:tc>
        <w:tc>
          <w:tcPr>
            <w:tcW w:type="dxa" w:w="2160"/>
            <w:shd w:val="clear" w:color="auto" w:fill="3B4259"/>
          </w:tcPr>
          <w:p>
            <w:r>
              <w:rPr>
                <w:rFonts w:ascii="Calibri" w:hAnsi="Calibri"/>
                <w:b/>
                <w:color w:val="FFFFFF"/>
                <w:sz w:val="22"/>
              </w:rPr>
              <w:t>LNT</w:t>
            </w:r>
          </w:p>
        </w:tc>
        <w:tc>
          <w:tcPr>
            <w:tcW w:type="dxa" w:w="2160"/>
            <w:shd w:val="clear" w:color="auto" w:fill="3B4259"/>
          </w:tcPr>
          <w:p>
            <w:r>
              <w:rPr>
                <w:rFonts w:ascii="Calibri" w:hAnsi="Calibri"/>
                <w:b/>
                <w:color w:val="FFFFFF"/>
                <w:sz w:val="22"/>
              </w:rPr>
              <w:t>Utility Peer Group Mean</w:t>
            </w:r>
          </w:p>
        </w:tc>
        <w:tc>
          <w:tcPr>
            <w:tcW w:type="dxa" w:w="2160"/>
            <w:shd w:val="clear" w:color="auto" w:fill="3B4259"/>
          </w:tcPr>
          <w:p>
            <w:r>
              <w:rPr>
                <w:rFonts w:ascii="Calibri" w:hAnsi="Calibri"/>
                <w:b/>
                <w:color w:val="FFFFFF"/>
                <w:sz w:val="22"/>
              </w:rPr>
              <w:t>LNT Premium / (Discount)</w:t>
            </w:r>
          </w:p>
        </w:tc>
      </w:tr>
      <w:tr>
        <w:tc>
          <w:tcPr>
            <w:tcW w:type="dxa" w:w="2160"/>
          </w:tcPr>
          <w:p>
            <w:r>
              <w:rPr>
                <w:rFonts w:ascii="Calibri" w:hAnsi="Calibri"/>
                <w:sz w:val="22"/>
              </w:rPr>
              <w:t>NTM P/E</w:t>
            </w:r>
          </w:p>
        </w:tc>
        <w:tc>
          <w:tcPr>
            <w:tcW w:type="dxa" w:w="2160"/>
          </w:tcPr>
          <w:p>
            <w:r>
              <w:rPr>
                <w:rFonts w:ascii="Calibri" w:hAnsi="Calibri"/>
                <w:sz w:val="22"/>
              </w:rPr>
              <w:t>20.7x</w:t>
            </w:r>
          </w:p>
        </w:tc>
        <w:tc>
          <w:tcPr>
            <w:tcW w:type="dxa" w:w="2160"/>
          </w:tcPr>
          <w:p>
            <w:r>
              <w:rPr>
                <w:rFonts w:ascii="Calibri" w:hAnsi="Calibri"/>
                <w:sz w:val="22"/>
              </w:rPr>
              <w:t>~18.1x (peer mean)</w:t>
            </w:r>
          </w:p>
        </w:tc>
        <w:tc>
          <w:tcPr>
            <w:tcW w:type="dxa" w:w="2160"/>
          </w:tcPr>
          <w:p>
            <w:r>
              <w:rPr>
                <w:rFonts w:ascii="Calibri" w:hAnsi="Calibri"/>
                <w:sz w:val="22"/>
              </w:rPr>
              <w:t>+14% premium</w:t>
            </w:r>
          </w:p>
        </w:tc>
      </w:tr>
      <w:tr>
        <w:tc>
          <w:tcPr>
            <w:tcW w:type="dxa" w:w="2160"/>
          </w:tcPr>
          <w:p>
            <w:r>
              <w:rPr>
                <w:rFonts w:ascii="Calibri" w:hAnsi="Calibri"/>
                <w:sz w:val="22"/>
              </w:rPr>
              <w:t>NTM EV/EBITDA</w:t>
            </w:r>
          </w:p>
        </w:tc>
        <w:tc>
          <w:tcPr>
            <w:tcW w:type="dxa" w:w="2160"/>
          </w:tcPr>
          <w:p>
            <w:r>
              <w:rPr>
                <w:rFonts w:ascii="Calibri" w:hAnsi="Calibri"/>
                <w:sz w:val="22"/>
              </w:rPr>
              <w:t>14.5x</w:t>
            </w:r>
          </w:p>
        </w:tc>
        <w:tc>
          <w:tcPr>
            <w:tcW w:type="dxa" w:w="2160"/>
          </w:tcPr>
          <w:p>
            <w:r>
              <w:rPr>
                <w:rFonts w:ascii="Calibri" w:hAnsi="Calibri"/>
                <w:sz w:val="22"/>
              </w:rPr>
              <w:t>N/A (not provided)</w:t>
            </w:r>
          </w:p>
        </w:tc>
        <w:tc>
          <w:tcPr>
            <w:tcW w:type="dxa" w:w="2160"/>
          </w:tcPr>
          <w:p>
            <w:r>
              <w:rPr>
                <w:rFonts w:ascii="Calibri" w:hAnsi="Calibri"/>
                <w:sz w:val="22"/>
              </w:rPr>
              <w:t>N/A</w:t>
            </w:r>
          </w:p>
        </w:tc>
      </w:tr>
      <w:tr>
        <w:tc>
          <w:tcPr>
            <w:tcW w:type="dxa" w:w="2160"/>
          </w:tcPr>
          <w:p>
            <w:r>
              <w:rPr>
                <w:rFonts w:ascii="Calibri" w:hAnsi="Calibri"/>
                <w:sz w:val="22"/>
              </w:rPr>
              <w:t>NTM P/Sales</w:t>
            </w:r>
          </w:p>
        </w:tc>
        <w:tc>
          <w:tcPr>
            <w:tcW w:type="dxa" w:w="2160"/>
          </w:tcPr>
          <w:p>
            <w:r>
              <w:rPr>
                <w:rFonts w:ascii="Calibri" w:hAnsi="Calibri"/>
                <w:sz w:val="22"/>
              </w:rPr>
              <w:t>4.35x</w:t>
            </w:r>
          </w:p>
        </w:tc>
        <w:tc>
          <w:tcPr>
            <w:tcW w:type="dxa" w:w="2160"/>
          </w:tcPr>
          <w:p>
            <w:r>
              <w:rPr>
                <w:rFonts w:ascii="Calibri" w:hAnsi="Calibri"/>
                <w:sz w:val="22"/>
              </w:rPr>
              <w:t>N/A</w:t>
            </w:r>
          </w:p>
        </w:tc>
        <w:tc>
          <w:tcPr>
            <w:tcW w:type="dxa" w:w="2160"/>
          </w:tcPr>
          <w:p>
            <w:r>
              <w:rPr>
                <w:rFonts w:ascii="Calibri" w:hAnsi="Calibri"/>
                <w:sz w:val="22"/>
              </w:rPr>
              <w:t>N/A</w:t>
            </w:r>
          </w:p>
        </w:tc>
      </w:tr>
      <w:tr>
        <w:tc>
          <w:tcPr>
            <w:tcW w:type="dxa" w:w="2160"/>
          </w:tcPr>
          <w:p>
            <w:r>
              <w:rPr>
                <w:rFonts w:ascii="Calibri" w:hAnsi="Calibri"/>
                <w:sz w:val="22"/>
              </w:rPr>
              <w:t>LNT 1-Year Premium vs. 3-Year Avg Premium</w:t>
            </w:r>
          </w:p>
        </w:tc>
        <w:tc>
          <w:tcPr>
            <w:tcW w:type="dxa" w:w="2160"/>
          </w:tcPr>
          <w:p>
            <w:r>
              <w:rPr>
                <w:rFonts w:ascii="Calibri" w:hAnsi="Calibri"/>
                <w:sz w:val="22"/>
              </w:rPr>
              <w:t>+1.6% (1Y avg) vs. +2.6% (3Y avg)</w:t>
            </w:r>
          </w:p>
        </w:tc>
        <w:tc>
          <w:tcPr>
            <w:tcW w:type="dxa" w:w="2160"/>
          </w:tcPr>
          <w:p>
            <w:r>
              <w:rPr>
                <w:rFonts w:ascii="Calibri" w:hAnsi="Calibri"/>
                <w:sz w:val="22"/>
              </w:rPr>
              <w:t>—</w:t>
            </w:r>
          </w:p>
        </w:tc>
        <w:tc>
          <w:tcPr>
            <w:tcW w:type="dxa" w:w="2160"/>
          </w:tcPr>
          <w:p>
            <w:r>
              <w:rPr>
                <w:rFonts w:ascii="Calibri" w:hAnsi="Calibri"/>
                <w:sz w:val="22"/>
              </w:rPr>
              <w:t>Current +14% premium is above both historical averages, reflecting data center growth premium</w:t>
            </w:r>
          </w:p>
        </w:tc>
      </w:tr>
      <w:tr>
        <w:tc>
          <w:tcPr>
            <w:tcW w:type="dxa" w:w="2160"/>
          </w:tcPr>
          <w:p>
            <w:r>
              <w:rPr>
                <w:rFonts w:ascii="Calibri" w:hAnsi="Calibri"/>
                <w:sz w:val="22"/>
              </w:rPr>
              <w:t>NTM P/E Δ (3 months)</w:t>
            </w:r>
          </w:p>
        </w:tc>
        <w:tc>
          <w:tcPr>
            <w:tcW w:type="dxa" w:w="2160"/>
          </w:tcPr>
          <w:p>
            <w:r>
              <w:rPr>
                <w:rFonts w:ascii="Calibri" w:hAnsi="Calibri"/>
                <w:sz w:val="22"/>
              </w:rPr>
              <w:t>+0.7% (multiple expansion)</w:t>
            </w:r>
          </w:p>
        </w:tc>
        <w:tc>
          <w:tcPr>
            <w:tcW w:type="dxa" w:w="2160"/>
          </w:tcPr>
          <w:p>
            <w:r>
              <w:rPr>
                <w:rFonts w:ascii="Calibri" w:hAnsi="Calibri"/>
                <w:sz w:val="22"/>
              </w:rPr>
              <w:t>—</w:t>
            </w:r>
          </w:p>
        </w:tc>
        <w:tc>
          <w:tcPr>
            <w:tcW w:type="dxa" w:w="2160"/>
          </w:tcPr>
          <w:p>
            <w:r>
              <w:rPr>
                <w:rFonts w:ascii="Calibri" w:hAnsi="Calibri"/>
                <w:sz w:val="22"/>
              </w:rPr>
              <w:t>Modest multiple expansion over 3 months</w:t>
            </w:r>
          </w:p>
        </w:tc>
      </w:tr>
      <w:tr>
        <w:tc>
          <w:tcPr>
            <w:tcW w:type="dxa" w:w="2160"/>
          </w:tcPr>
          <w:p>
            <w:r>
              <w:rPr>
                <w:rFonts w:ascii="Calibri" w:hAnsi="Calibri"/>
                <w:sz w:val="22"/>
              </w:rPr>
              <w:t>NTM P/E Δ (12 months)</w:t>
            </w:r>
          </w:p>
        </w:tc>
        <w:tc>
          <w:tcPr>
            <w:tcW w:type="dxa" w:w="2160"/>
          </w:tcPr>
          <w:p>
            <w:r>
              <w:rPr>
                <w:rFonts w:ascii="Calibri" w:hAnsi="Calibri"/>
                <w:sz w:val="22"/>
              </w:rPr>
              <w:t>+8.0% (multiple expansion)</w:t>
            </w:r>
          </w:p>
        </w:tc>
        <w:tc>
          <w:tcPr>
            <w:tcW w:type="dxa" w:w="2160"/>
          </w:tcPr>
          <w:p>
            <w:r>
              <w:rPr>
                <w:rFonts w:ascii="Calibri" w:hAnsi="Calibri"/>
                <w:sz w:val="22"/>
              </w:rPr>
              <w:t>—</w:t>
            </w:r>
          </w:p>
        </w:tc>
        <w:tc>
          <w:tcPr>
            <w:tcW w:type="dxa" w:w="2160"/>
          </w:tcPr>
          <w:p>
            <w:r>
              <w:rPr>
                <w:rFonts w:ascii="Calibri" w:hAnsi="Calibri"/>
                <w:sz w:val="22"/>
              </w:rPr>
              <w:t>Significant 12-month multiple expansion; ~half of 12M price return is multiple-driven</w:t>
            </w:r>
          </w:p>
        </w:tc>
      </w:tr>
    </w:tbl>
    <w:p>
      <w:r>
        <w:rPr>
          <w:rFonts w:ascii="Calibri" w:hAnsi="Calibri"/>
          <w:i/>
          <w:color w:val="525866"/>
          <w:sz w:val="22"/>
        </w:rPr>
        <w:t>Source: Stock Performance Decomposition Data (as of July 29, 2026); Peer Valuation Tool (Utilities — Regulated Electric peer group).</w:t>
      </w:r>
    </w:p>
    <w:p>
      <w:r>
        <w:rPr>
          <w:rFonts w:ascii="Calibri" w:hAnsi="Calibri"/>
          <w:b/>
          <w:color w:val="525866"/>
          <w:sz w:val="22"/>
        </w:rPr>
        <w:t xml:space="preserve">Disclaimer: </w:t>
      </w:r>
      <w:r>
        <w:rPr>
          <w:rFonts w:ascii="Calibri" w:hAnsi="Calibri"/>
          <w:i/>
          <w:color w:val="525866"/>
          <w:sz w:val="22"/>
        </w:rPr>
        <w:t>This document is prepared for informational purposes only and does not constitute investment advice. All consensus estimates sourced from Visible Alpha as of July 29, 2026. All stock price data sourced from Yahoo Finance. Peer commentary sourced from publicly available earnings call transcripts and press releases.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