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LRCX thoroughly before writing the preview. Let me start by gathering recent earnings materials, filings, news, and price data.The stock chart is striking — LRCX ran from ~</w:t>
      </w:r>
      <m:oMath>
        <m:r>
          <m:t>185</m:t>
        </m:r>
        <m:r>
          <m:t>i</m:t>
        </m:r>
        <m:r>
          <m:t>n</m:t>
        </m:r>
        <m:r>
          <m:t>J</m:t>
        </m:r>
        <m:r>
          <m:t>a</m:t>
        </m:r>
        <m:r>
          <m:t>n</m:t>
        </m:r>
        <m:r>
          <m:t>u</m:t>
        </m:r>
        <m:r>
          <m:t>a</m:t>
        </m:r>
        <m:r>
          <m:t>r</m:t>
        </m:r>
        <m:r>
          <m:t>y</m:t>
        </m:r>
        <m:r>
          <m:t>2026</m:t>
        </m:r>
        <m:r>
          <m:t>t</m:t>
        </m:r>
        <m:r>
          <m:t>o</m:t>
        </m:r>
        <m:r>
          <m:t>a</m:t>
        </m:r>
        <m:r>
          <m:t>p</m:t>
        </m:r>
        <m:r>
          <m:t>e</m:t>
        </m:r>
        <m:r>
          <m:t>a</m:t>
        </m:r>
        <m:r>
          <m:t>k</m:t>
        </m:r>
        <m:r>
          <m:t>o</m:t>
        </m:r>
        <m:r>
          <m:t>f</m:t>
        </m:r>
        <m:r>
          <m:t> </m:t>
        </m:r>
      </m:oMath>
      <w:r>
        <w:t xml:space="preserve">433 by late June, then corrected sharply to ~$270 by July 28. Let me read the most recent earnings materials and gather recent news.Now I have the fiscal Q4 (June 2026) guidance to be reported tomorrow. Let me get recent news to understand the sharp July stock correction and current sentiment.Let me get analyst consensus estimates and check the China DUV news relevance to LRCX.# Lam Research (LRCX) — Earnings Preview</w:t>
      </w:r>
    </w:p>
    <w:p>
      <w:pPr>
        <w:pStyle w:val="BodyText"/>
      </w:pPr>
      <w:r>
        <w:rPr>
          <w:b/>
          <w:bCs/>
        </w:rPr>
        <w:t xml:space="preserve">Report:</w:t>
      </w:r>
      <w:r>
        <w:t xml:space="preserve"> </w:t>
      </w:r>
      <w:r>
        <w:t xml:space="preserve">Fiscal Q4 2026 (June quarter) · After close, Wednesday July 29, 2026 · Q&amp;A call to follow</w:t>
      </w:r>
      <w:r>
        <w:t xml:space="preserve"> </w:t>
      </w:r>
      <w:r>
        <w:rPr>
          <w:b/>
          <w:bCs/>
        </w:rPr>
        <w:t xml:space="preserve">Stock (7/28/2026 close):</w:t>
      </w:r>
      <w:r>
        <w:t xml:space="preserve"> </w:t>
      </w:r>
      <w:r>
        <w:t xml:space="preserve">~</w:t>
      </w:r>
      <m:oMath>
        <m:r>
          <m:t>269.65</m:t>
        </m:r>
        <m:r>
          <m:rPr>
            <m:sty m:val="p"/>
          </m:rPr>
          <m:t>·</m:t>
        </m:r>
        <m:r>
          <m:rPr>
            <m:sty m:val="p"/>
          </m:rPr>
          <m:t>*</m:t>
        </m:r>
        <m:r>
          <m:rPr>
            <m:sty m:val="p"/>
          </m:rPr>
          <m:t>*</m:t>
        </m:r>
        <m:r>
          <m:t>Y</m:t>
        </m:r>
        <m:r>
          <m:t>T</m:t>
        </m:r>
        <m:r>
          <m:t>D</m:t>
        </m:r>
        <m:r>
          <m:rPr>
            <m:sty m:val="p"/>
          </m:rPr>
          <m:t>:</m:t>
        </m:r>
        <m:r>
          <m:rPr>
            <m:sty m:val="p"/>
          </m:rPr>
          <m:t>*</m:t>
        </m:r>
        <m:r>
          <m:rPr>
            <m:sty m:val="p"/>
          </m:rPr>
          <m:t>*</m:t>
        </m:r>
        <m:r>
          <m:rPr>
            <m:sty m:val="p"/>
          </m:rPr>
          <m:t>+</m:t>
        </m:r>
        <m:r>
          <m:t>45.7</m:t>
        </m:r>
      </m:oMath>
      <w:r>
        <w:t xml:space="preserve">433**</w:t>
      </w:r>
    </w:p>
    <w:p>
      <w:r>
        <w:pict>
          <v:rect style="width:0;height:1.5pt" o:hralign="center" o:hrstd="t" o:hr="t"/>
        </w:pict>
      </w:r>
    </w:p>
    <w:bookmarkStart w:id="9" w:name="the-setup-in-one-line"/>
    <w:p>
      <w:pPr>
        <w:pStyle w:val="Heading2"/>
      </w:pPr>
      <w:r>
        <w:t xml:space="preserve">The Setup in One Line</w:t>
      </w:r>
    </w:p>
    <w:p>
      <w:pPr>
        <w:pStyle w:val="FirstParagraph"/>
      </w:pPr>
      <w:r>
        <w:t xml:space="preserve">LRCX heads into this print with fundamentals firing on all cylinders — record revenue, record margins, and a raised 2026 WFE outlook — but into a tape that has abruptly turned against AI/semiconductor names. The report is less about whether the June quarter was good (it almost certainly was) and more about whether management's forward tone can arrest a sharp sentiment reversal.</w:t>
      </w:r>
    </w:p>
    <w:p>
      <w:r>
        <w:pict>
          <v:rect style="width:0;height:1.5pt" o:hralign="center" o:hrstd="t" o:hr="t"/>
        </w:pict>
      </w:r>
    </w:p>
    <w:bookmarkEnd w:id="9"/>
    <w:bookmarkStart w:id="10" w:name="whats-actually-being-reported"/>
    <w:p>
      <w:pPr>
        <w:pStyle w:val="Heading2"/>
      </w:pPr>
      <w:r>
        <w:t xml:space="preserve">What's Actually Being Reported</w:t>
      </w:r>
    </w:p>
    <w:p>
      <w:pPr>
        <w:pStyle w:val="FirstParagraph"/>
      </w:pPr>
      <w:r>
        <w:t xml:space="preserve">This is the</w:t>
      </w:r>
      <w:r>
        <w:t xml:space="preserve"> </w:t>
      </w:r>
      <w:r>
        <w:rPr>
          <w:b/>
          <w:bCs/>
        </w:rPr>
        <w:t xml:space="preserve">June 2026 quarter (fiscal Q4)</w:t>
      </w:r>
      <w:r>
        <w:t xml:space="preserve">. Management's own guidance from the April call was:</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Guidance (midpoint)</w:t>
            </w:r>
          </w:p>
        </w:tc>
        <w:tc>
          <w:tcPr/>
          <w:p>
            <w:pPr>
              <w:pStyle w:val="Compact"/>
            </w:pPr>
            <w:r>
              <w:t xml:space="preserve">Consensus</w:t>
            </w:r>
          </w:p>
        </w:tc>
      </w:tr>
      <w:tr>
        <w:tc>
          <w:tcPr/>
          <w:p>
            <w:pPr>
              <w:pStyle w:val="Compact"/>
            </w:pPr>
            <w:r>
              <w:t xml:space="preserve">Revenue</w:t>
            </w:r>
          </w:p>
        </w:tc>
        <w:tc>
          <w:tcPr/>
          <w:p>
            <w:pPr>
              <w:pStyle w:val="Compact"/>
            </w:pPr>
            <w:r>
              <w:t xml:space="preserve">$6.60B ± $400M</w:t>
            </w:r>
          </w:p>
        </w:tc>
        <w:tc>
          <w:tcPr/>
          <w:p>
            <w:pPr>
              <w:pStyle w:val="Compact"/>
            </w:pPr>
            <w:r>
              <w:t xml:space="preserve">~$6.67B</w:t>
            </w:r>
          </w:p>
        </w:tc>
      </w:tr>
      <w:tr>
        <w:tc>
          <w:tcPr/>
          <w:p>
            <w:pPr>
              <w:pStyle w:val="Compact"/>
            </w:pPr>
            <w:r>
              <w:t xml:space="preserve">Gross margin</w:t>
            </w:r>
          </w:p>
        </w:tc>
        <w:tc>
          <w:tcPr/>
          <w:p>
            <w:pPr>
              <w:pStyle w:val="Compact"/>
            </w:pPr>
            <w:r>
              <w:t xml:space="preserve">50.5% ± 1pt</w:t>
            </w:r>
          </w:p>
        </w:tc>
        <w:tc>
          <w:tcPr/>
          <w:p>
            <w:pPr>
              <w:pStyle w:val="Compact"/>
            </w:pPr>
            <w:r>
              <w:t xml:space="preserve">—</w:t>
            </w:r>
          </w:p>
        </w:tc>
      </w:tr>
      <w:tr>
        <w:tc>
          <w:tcPr/>
          <w:p>
            <w:pPr>
              <w:pStyle w:val="Compact"/>
            </w:pPr>
            <w:r>
              <w:t xml:space="preserve">Operating margin</w:t>
            </w:r>
          </w:p>
        </w:tc>
        <w:tc>
          <w:tcPr/>
          <w:p>
            <w:pPr>
              <w:pStyle w:val="Compact"/>
            </w:pPr>
            <w:r>
              <w:t xml:space="preserve">36.5% ± 1pt</w:t>
            </w:r>
          </w:p>
        </w:tc>
        <w:tc>
          <w:tcPr/>
          <w:p>
            <w:pPr>
              <w:pStyle w:val="Compact"/>
            </w:pPr>
            <w:r>
              <w:t xml:space="preserve">—</w:t>
            </w:r>
          </w:p>
        </w:tc>
      </w:tr>
      <w:tr>
        <w:tc>
          <w:tcPr/>
          <w:p>
            <w:pPr>
              <w:pStyle w:val="Compact"/>
            </w:pPr>
            <w:r>
              <w:t xml:space="preserve">Non-GAAP EPS</w:t>
            </w:r>
          </w:p>
        </w:tc>
        <w:tc>
          <w:tcPr/>
          <w:p>
            <w:pPr>
              <w:pStyle w:val="Compact"/>
            </w:pPr>
            <w:r>
              <w:t xml:space="preserve">$1.65 ± $0.15</w:t>
            </w:r>
          </w:p>
        </w:tc>
        <w:tc>
          <w:tcPr/>
          <w:p>
            <w:pPr>
              <w:pStyle w:val="Compact"/>
            </w:pPr>
            <w:r>
              <w:t xml:space="preserve">~$1.69</w:t>
            </w:r>
          </w:p>
        </w:tc>
      </w:tr>
      <w:tr>
        <w:tc>
          <w:tcPr/>
          <w:p>
            <w:pPr>
              <w:pStyle w:val="Compact"/>
            </w:pPr>
            <w:r>
              <w:t xml:space="preserve">Diluted shares</w:t>
            </w:r>
          </w:p>
        </w:tc>
        <w:tc>
          <w:tcPr/>
          <w:p>
            <w:pPr>
              <w:pStyle w:val="Compact"/>
            </w:pPr>
            <w:r>
              <w:t xml:space="preserve">~1.255B</w:t>
            </w:r>
          </w:p>
        </w:tc>
        <w:tc>
          <w:tcPr/>
          <w:p>
            <w:pPr>
              <w:pStyle w:val="Compact"/>
            </w:pPr>
            <w:r>
              <w:t xml:space="preserve">—</w:t>
            </w:r>
          </w:p>
        </w:tc>
      </w:tr>
    </w:tbl>
    <w:p>
      <w:pPr>
        <w:pStyle w:val="BodyText"/>
      </w:pPr>
      <w:r>
        <w:t xml:space="preserve">Street consensus of ~</w:t>
      </w:r>
      <m:oMath>
        <m:r>
          <m:t>6.67</m:t>
        </m:r>
        <m:r>
          <m:t>B</m:t>
        </m:r>
        <m:r>
          <m:t>r</m:t>
        </m:r>
        <m:r>
          <m:t>e</m:t>
        </m:r>
        <m:r>
          <m:t>v</m:t>
        </m:r>
        <m:r>
          <m:t>e</m:t>
        </m:r>
        <m:r>
          <m:t>n</m:t>
        </m:r>
        <m:r>
          <m:t>u</m:t>
        </m:r>
        <m:r>
          <m:t>e</m:t>
        </m:r>
        <m:r>
          <m:t>a</m:t>
        </m:r>
        <m:r>
          <m:t>n</m:t>
        </m:r>
        <m:r>
          <m:t>d</m:t>
        </m:r>
        <m:r>
          <m:t> </m:t>
        </m:r>
      </m:oMath>
      <w:r>
        <w:t xml:space="preserve">1.69 EPS sits at/just above the high end of guidance, implying roughly</w:t>
      </w:r>
      <w:r>
        <w:t xml:space="preserve"> </w:t>
      </w:r>
      <w:r>
        <w:rPr>
          <w:b/>
          <w:bCs/>
        </w:rPr>
        <w:t xml:space="preserve">+29% YoY revenue growth</w:t>
      </w:r>
      <w:r>
        <w:t xml:space="preserve"> </w:t>
      </w:r>
      <w:r>
        <w:t xml:space="preserve">and **~+27% YoY EPS growth**. A print in line with the Street would mark Lam's</w:t>
      </w:r>
      <w:r>
        <w:t xml:space="preserve"> </w:t>
      </w:r>
      <w:r>
        <w:rPr>
          <w:b/>
          <w:bCs/>
        </w:rPr>
        <w:t xml:space="preserve">fourth consecutive record revenue quarter</w:t>
      </w:r>
      <w:r>
        <w:t xml:space="preserve"> </w:t>
      </w:r>
      <w:r>
        <w:t xml:space="preserve">and would take full-year FY26 revenue to roughly **</w:t>
      </w:r>
      <m:oMath>
        <m:r>
          <m:t>23</m:t>
        </m:r>
        <m:r>
          <m:t>B</m:t>
        </m:r>
        <m:r>
          <m:rPr>
            <m:sty m:val="p"/>
          </m:rPr>
          <m:t>*</m:t>
        </m:r>
        <m:r>
          <m:rPr>
            <m:sty m:val="p"/>
          </m:rPr>
          <m:t>*</m:t>
        </m:r>
        <m:r>
          <m:rPr>
            <m:sty m:val="p"/>
          </m:rPr>
          <m:t>(</m:t>
        </m:r>
        <m:r>
          <m:t>v</m:t>
        </m:r>
        <m:r>
          <m:t>s</m:t>
        </m:r>
        <m:r>
          <m:rPr>
            <m:sty m:val="p"/>
          </m:rPr>
          <m:t>.</m:t>
        </m:r>
        <m:r>
          <m:t> </m:t>
        </m:r>
      </m:oMath>
      <w:r>
        <w:t xml:space="preserve">16.5B in the first nine months, up from $13.3B a year ago).</w:t>
      </w:r>
    </w:p>
    <w:p>
      <w:pPr>
        <w:pStyle w:val="BodyText"/>
      </w:pPr>
      <w:r>
        <w:t xml:space="preserve">Given Lam's recent pattern (March EPS</w:t>
      </w:r>
      <w:r>
        <w:t xml:space="preserve"> </w:t>
      </w:r>
      <w:r>
        <w:rPr>
          <w:i/>
          <w:iCs/>
        </w:rPr>
        <w:t xml:space="preserve">exceeded</w:t>
      </w:r>
      <w:r>
        <w:t xml:space="preserve"> </w:t>
      </w:r>
      <w:r>
        <w:t xml:space="preserve">the top end of its range), the base case is a modest beat-and-raise. The bar, however, is now about the</w:t>
      </w:r>
      <w:r>
        <w:t xml:space="preserve"> </w:t>
      </w:r>
      <w:r>
        <w:rPr>
          <w:b/>
          <w:bCs/>
        </w:rPr>
        <w:t xml:space="preserve">September-quarter guide and the first framing of 2027</w:t>
      </w:r>
      <w:r>
        <w:t xml:space="preserve">, not the quarter just closed.</w:t>
      </w:r>
    </w:p>
    <w:p>
      <w:r>
        <w:pict>
          <v:rect style="width:0;height:1.5pt" o:hralign="center" o:hrstd="t" o:hr="t"/>
        </w:pict>
      </w:r>
    </w:p>
    <w:bookmarkEnd w:id="10"/>
    <w:bookmarkStart w:id="11" w:name="X467cf1e0a1b805f6d1237fa9ca4f1b9f1a062d7"/>
    <w:p>
      <w:pPr>
        <w:pStyle w:val="Heading2"/>
      </w:pPr>
      <w:r>
        <w:t xml:space="preserve">The Bull Case Coming In (what management has been selling)</w:t>
      </w:r>
    </w:p>
    <w:p>
      <w:pPr>
        <w:pStyle w:val="Compact"/>
        <w:numPr>
          <w:ilvl w:val="0"/>
          <w:numId w:val="1001"/>
        </w:numPr>
      </w:pPr>
      <w:r>
        <w:rPr>
          <w:b/>
          <w:bCs/>
        </w:rPr>
        <w:t xml:space="preserve">WFE raised, with upside bias.</w:t>
      </w:r>
      <w:r>
        <w:t xml:space="preserve"> </w:t>
      </w:r>
      <w:r>
        <w:t xml:space="preserve">On the April call, Lam lifted its 2026 WFE view to **~</w:t>
      </w:r>
      <m:oMath>
        <m:r>
          <m:t>140</m:t>
        </m:r>
        <m:r>
          <m:t>B</m:t>
        </m:r>
        <m:r>
          <m:rPr>
            <m:sty m:val="p"/>
          </m:rPr>
          <m:t>*</m:t>
        </m:r>
        <m:r>
          <m:rPr>
            <m:sty m:val="p"/>
          </m:rPr>
          <m:t>*</m:t>
        </m:r>
        <m:r>
          <m:rPr>
            <m:sty m:val="p"/>
          </m:rPr>
          <m:t>(</m:t>
        </m:r>
        <m:r>
          <m:t>f</m:t>
        </m:r>
        <m:r>
          <m:t>r</m:t>
        </m:r>
        <m:r>
          <m:t>o</m:t>
        </m:r>
        <m:r>
          <m:t>m</m:t>
        </m:r>
        <m:r>
          <m:t> </m:t>
        </m:r>
      </m:oMath>
      <w:r>
        <w:t xml:space="preserve">135B in January) and said spending had moved higher "across all device segments," with a bias to the upside as the industry works through constraints. Management explicitly said 2H26 revenue will exceed 1H and that 2027 is shaping up as another growth year.</w:t>
      </w:r>
    </w:p>
    <w:p>
      <w:pPr>
        <w:pStyle w:val="Compact"/>
        <w:numPr>
          <w:ilvl w:val="0"/>
          <w:numId w:val="1001"/>
        </w:numPr>
      </w:pPr>
      <w:r>
        <w:rPr>
          <w:b/>
          <w:bCs/>
        </w:rPr>
        <w:t xml:space="preserve">SAM expansion + share gains.</w:t>
      </w:r>
      <w:r>
        <w:t xml:space="preserve"> </w:t>
      </w:r>
      <w:r>
        <w:t xml:space="preserve">Lam expects its served market to reach "slightly more than the mid-30s percent" of WFE in 2026, on the path to a high-30s target, driven by rising etch/deposition intensity from 3D scaling.</w:t>
      </w:r>
    </w:p>
    <w:p>
      <w:pPr>
        <w:pStyle w:val="Compact"/>
        <w:numPr>
          <w:ilvl w:val="0"/>
          <w:numId w:val="1001"/>
        </w:numPr>
      </w:pPr>
      <w:r>
        <w:rPr>
          <w:b/>
          <w:bCs/>
        </w:rPr>
        <w:t xml:space="preserve">NAND inflection pulling forward.</w:t>
      </w:r>
      <w:r>
        <w:t xml:space="preserve"> </w:t>
      </w:r>
      <w:r>
        <w:t xml:space="preserve">The ~$40B of NAND conversion spending (to 200+ layer / QLC devices) is now expected to concentrate</w:t>
      </w:r>
      <w:r>
        <w:t xml:space="preserve"> </w:t>
      </w:r>
      <w:r>
        <w:rPr>
          <w:i/>
          <w:iCs/>
        </w:rPr>
        <w:t xml:space="preserve">before the end of 2027</w:t>
      </w:r>
      <w:r>
        <w:t xml:space="preserve">, plus eventual greenfield as installed capacity shrinks &gt;20% from prior highs. NAND was still only 12% of systems revenue in March — a potential incremental driver.</w:t>
      </w:r>
    </w:p>
    <w:p>
      <w:pPr>
        <w:pStyle w:val="Compact"/>
        <w:numPr>
          <w:ilvl w:val="0"/>
          <w:numId w:val="1001"/>
        </w:numPr>
      </w:pPr>
      <w:r>
        <w:rPr>
          <w:b/>
          <w:bCs/>
        </w:rPr>
        <w:t xml:space="preserve">DRAM / 1c + HBM.</w:t>
      </w:r>
      <w:r>
        <w:t xml:space="preserve"> </w:t>
      </w:r>
      <w:r>
        <w:t xml:space="preserve">Record DRAM revenue in March (27% of systems); the 1c transition expands Lam's dielectric-deposition SAM &gt;20%, and Striker carbide is tool-of-record for bitline spacers at all leading memory makers.</w:t>
      </w:r>
    </w:p>
    <w:p>
      <w:pPr>
        <w:pStyle w:val="Compact"/>
        <w:numPr>
          <w:ilvl w:val="0"/>
          <w:numId w:val="1001"/>
        </w:numPr>
      </w:pPr>
      <w:r>
        <w:rPr>
          <w:b/>
          <w:bCs/>
        </w:rPr>
        <w:t xml:space="preserve">Foundry/logic + advanced packaging.</w:t>
      </w:r>
      <w:r>
        <w:t xml:space="preserve"> </w:t>
      </w:r>
      <w:r>
        <w:t xml:space="preserve">First dielectric-etch wins at a key foundry/logic customer; advanced-packaging revenue expected to grow</w:t>
      </w:r>
      <w:r>
        <w:t xml:space="preserve"> </w:t>
      </w:r>
      <w:r>
        <w:rPr>
          <w:b/>
          <w:bCs/>
        </w:rPr>
        <w:t xml:space="preserve">&gt;50% in 2026</w:t>
      </w:r>
      <w:r>
        <w:t xml:space="preserve">.</w:t>
      </w:r>
    </w:p>
    <w:p>
      <w:pPr>
        <w:pStyle w:val="Compact"/>
        <w:numPr>
          <w:ilvl w:val="0"/>
          <w:numId w:val="1001"/>
        </w:numPr>
      </w:pPr>
      <w:r>
        <w:rPr>
          <w:b/>
          <w:bCs/>
        </w:rPr>
        <w:t xml:space="preserve">CSBG at record scale.</w:t>
      </w:r>
      <w:r>
        <w:t xml:space="preserve"> </w:t>
      </w:r>
      <w:r>
        <w:t xml:space="preserve">First-ever **</w:t>
      </w:r>
      <m:oMath>
        <m:r>
          <m:t>2</m:t>
        </m:r>
        <m:r>
          <m:t>B</m:t>
        </m:r>
        <m:r>
          <m:rPr>
            <m:sty m:val="p"/>
          </m:rPr>
          <m:t>+</m:t>
        </m:r>
        <m:r>
          <m:t>s</m:t>
        </m:r>
        <m:r>
          <m:t>e</m:t>
        </m:r>
        <m:r>
          <m:t>r</m:t>
        </m:r>
        <m:r>
          <m:t>v</m:t>
        </m:r>
        <m:r>
          <m:t>i</m:t>
        </m:r>
        <m:r>
          <m:t>c</m:t>
        </m:r>
        <m:r>
          <m:t>e</m:t>
        </m:r>
        <m:r>
          <m:t>s</m:t>
        </m:r>
        <m:r>
          <m:rPr>
            <m:sty m:val="p"/>
          </m:rPr>
          <m:t>/</m:t>
        </m:r>
        <m:r>
          <m:t>s</m:t>
        </m:r>
        <m:r>
          <m:t>p</m:t>
        </m:r>
        <m:r>
          <m:t>a</m:t>
        </m:r>
        <m:r>
          <m:t>r</m:t>
        </m:r>
        <m:r>
          <m:t>e</m:t>
        </m:r>
        <m:r>
          <m:t>s</m:t>
        </m:r>
        <m:r>
          <m:rPr>
            <m:sty m:val="p"/>
          </m:rPr>
          <m:t>/</m:t>
        </m:r>
        <m:r>
          <m:t>u</m:t>
        </m:r>
        <m:r>
          <m:t>p</m:t>
        </m:r>
        <m:r>
          <m:t>g</m:t>
        </m:r>
        <m:r>
          <m:t>r</m:t>
        </m:r>
        <m:r>
          <m:t>a</m:t>
        </m:r>
        <m:r>
          <m:t>d</m:t>
        </m:r>
        <m:r>
          <m:t>e</m:t>
        </m:r>
        <m:r>
          <m:t>s</m:t>
        </m:r>
        <m:r>
          <m:t>q</m:t>
        </m:r>
        <m:r>
          <m:t>u</m:t>
        </m:r>
        <m:r>
          <m:t>a</m:t>
        </m:r>
        <m:r>
          <m:t>r</m:t>
        </m:r>
        <m:r>
          <m:t>t</m:t>
        </m:r>
        <m:r>
          <m:t>e</m:t>
        </m:r>
        <m:r>
          <m:t>r</m:t>
        </m:r>
        <m:r>
          <m:rPr>
            <m:sty m:val="p"/>
          </m:rPr>
          <m:t>*</m:t>
        </m:r>
        <m:r>
          <m:rPr>
            <m:sty m:val="p"/>
          </m:rPr>
          <m:t>*</m:t>
        </m:r>
        <m:r>
          <m:rPr>
            <m:sty m:val="p"/>
          </m:rPr>
          <m:t>(</m:t>
        </m:r>
      </m:oMath>
      <w:r>
        <w:t xml:space="preserve">2.11B), benefiting from very high industry utilization, plus new monetization (Equipment Intelligence, Dextro cobots).</w:t>
      </w:r>
    </w:p>
    <w:p>
      <w:pPr>
        <w:pStyle w:val="Compact"/>
        <w:numPr>
          <w:ilvl w:val="0"/>
          <w:numId w:val="1001"/>
        </w:numPr>
      </w:pPr>
      <w:r>
        <w:rPr>
          <w:b/>
          <w:bCs/>
        </w:rPr>
        <w:t xml:space="preserve">Margins at/above the target model.</w:t>
      </w:r>
      <w:r>
        <w:t xml:space="preserve"> </w:t>
      </w:r>
      <w:r>
        <w:t xml:space="preserve">49.9% gross margin and 35% operating margin in March; June guided to 50.5%/36.5%. CFO Doug Bettinger told investors to model gross margin roughly flat at the June level for the rest of the year, and flagged an</w:t>
      </w:r>
      <w:r>
        <w:t xml:space="preserve"> </w:t>
      </w:r>
      <w:r>
        <w:rPr>
          <w:b/>
          <w:bCs/>
        </w:rPr>
        <w:t xml:space="preserve">updated long-term financial framework "later in the year"</w:t>
      </w:r>
      <w:r>
        <w:t xml:space="preserve"> </w:t>
      </w:r>
      <w:r>
        <w:t xml:space="preserve">— a potential catalyst if it lands on this call.</w:t>
      </w:r>
    </w:p>
    <w:p>
      <w:pPr>
        <w:pStyle w:val="Compact"/>
        <w:numPr>
          <w:ilvl w:val="0"/>
          <w:numId w:val="1001"/>
        </w:numPr>
      </w:pPr>
      <w:r>
        <w:rPr>
          <w:b/>
          <w:bCs/>
        </w:rPr>
        <w:t xml:space="preserve">Capital return.</w:t>
      </w:r>
      <w:r>
        <w:t xml:space="preserve"> </w:t>
      </w:r>
      <w:r>
        <w:t xml:space="preserve">~</w:t>
      </w:r>
      <m:oMath>
        <m:r>
          <m:t>800</m:t>
        </m:r>
        <m:r>
          <m:t>M</m:t>
        </m:r>
        <m:r>
          <m:t>b</m:t>
        </m:r>
        <m:r>
          <m:t>u</m:t>
        </m:r>
        <m:r>
          <m:t>y</m:t>
        </m:r>
        <m:r>
          <m:t>b</m:t>
        </m:r>
        <m:r>
          <m:t>a</m:t>
        </m:r>
        <m:r>
          <m:t>c</m:t>
        </m:r>
        <m:r>
          <m:t>k</m:t>
        </m:r>
        <m:r>
          <m:t>i</m:t>
        </m:r>
        <m:r>
          <m:t>n</m:t>
        </m:r>
        <m:r>
          <m:t>M</m:t>
        </m:r>
        <m:r>
          <m:t>a</m:t>
        </m:r>
        <m:r>
          <m:t>r</m:t>
        </m:r>
        <m:r>
          <m:t>c</m:t>
        </m:r>
        <m:r>
          <m:t>h</m:t>
        </m:r>
        <m:r>
          <m:rPr>
            <m:sty m:val="p"/>
          </m:rPr>
          <m:t>(</m:t>
        </m:r>
        <m:r>
          <m:t>a</m:t>
        </m:r>
        <m:r>
          <m:t>v</m:t>
        </m:r>
        <m:r>
          <m:t>g</m:t>
        </m:r>
        <m:r>
          <m:t> </m:t>
        </m:r>
      </m:oMath>
      <w:r>
        <w:t xml:space="preserve">211), $0.26 dividend, targeting ≥85% of FCF returned over time; $4.3B remaining on authorization. The recent selloff means any buyback was executed well below current-quarter highs.</w:t>
      </w:r>
    </w:p>
    <w:p>
      <w:r>
        <w:pict>
          <v:rect style="width:0;height:1.5pt" o:hralign="center" o:hrstd="t" o:hr="t"/>
        </w:pict>
      </w:r>
    </w:p>
    <w:bookmarkEnd w:id="11"/>
    <w:bookmarkStart w:id="12" w:name="why-the-stock-is-where-it-is-the-tension"/>
    <w:p>
      <w:pPr>
        <w:pStyle w:val="Heading2"/>
      </w:pPr>
      <w:r>
        <w:t xml:space="preserve">Why the Stock Is Where It Is (the tension)</w:t>
      </w:r>
    </w:p>
    <w:p>
      <w:pPr>
        <w:pStyle w:val="FirstParagraph"/>
      </w:pPr>
      <w:r>
        <w:t xml:space="preserve">Despite the fundamental momentum, LRCX has round-tripped a huge move: up ~134% from January to a June 30 peak near $433, then down ~38% into the print. The pullback is largely</w:t>
      </w:r>
      <w:r>
        <w:t xml:space="preserve"> </w:t>
      </w:r>
      <w:r>
        <w:rPr>
          <w:b/>
          <w:bCs/>
        </w:rPr>
        <w:t xml:space="preserve">macro/sentiment, not company-specific</w:t>
      </w:r>
      <w:r>
        <w:t xml:space="preserve">:</w:t>
      </w:r>
    </w:p>
    <w:p>
      <w:pPr>
        <w:pStyle w:val="Compact"/>
        <w:numPr>
          <w:ilvl w:val="0"/>
          <w:numId w:val="1002"/>
        </w:numPr>
      </w:pPr>
      <w:r>
        <w:t xml:space="preserve">A broad AI-semiconductor de-rating — commentary that "greed has turned into fear" for AI-related chip stocks, with investors treating any news as an excuse to sell.</w:t>
      </w:r>
    </w:p>
    <w:p>
      <w:pPr>
        <w:pStyle w:val="Compact"/>
        <w:numPr>
          <w:ilvl w:val="0"/>
          <w:numId w:val="1002"/>
        </w:numPr>
      </w:pPr>
      <w:r>
        <w:rPr>
          <w:b/>
          <w:bCs/>
        </w:rPr>
        <w:t xml:space="preserve">SK Hynix — a key Lam memory customer — has plunged ~47% from its June high</w:t>
      </w:r>
      <w:r>
        <w:t xml:space="preserve">, stoking fears the memory cycle could be topping even as bit demand looks strong.</w:t>
      </w:r>
    </w:p>
    <w:p>
      <w:pPr>
        <w:pStyle w:val="Compact"/>
        <w:numPr>
          <w:ilvl w:val="0"/>
          <w:numId w:val="1002"/>
        </w:numPr>
      </w:pPr>
      <w:r>
        <w:rPr>
          <w:b/>
          <w:bCs/>
        </w:rPr>
        <w:t xml:space="preserve">China domestic-equipment risk resurfaced:</w:t>
      </w:r>
      <w:r>
        <w:t xml:space="preserve"> </w:t>
      </w:r>
      <w:r>
        <w:t xml:space="preserve">reports that a state-backed Chinese firm has begun mass-producing DUV lithography tools pressured ASML and the equipment group. For Lam, China was</w:t>
      </w:r>
      <w:r>
        <w:t xml:space="preserve"> </w:t>
      </w:r>
      <w:r>
        <w:rPr>
          <w:b/>
          <w:bCs/>
        </w:rPr>
        <w:t xml:space="preserve">34% of revenue</w:t>
      </w:r>
      <w:r>
        <w:t xml:space="preserve"> </w:t>
      </w:r>
      <w:r>
        <w:t xml:space="preserve">last quarter — and management already guided China to</w:t>
      </w:r>
      <w:r>
        <w:t xml:space="preserve"> </w:t>
      </w:r>
      <w:r>
        <w:rPr>
          <w:b/>
          <w:bCs/>
        </w:rPr>
        <w:t xml:space="preserve">decline</w:t>
      </w:r>
      <w:r>
        <w:t xml:space="preserve"> </w:t>
      </w:r>
      <w:r>
        <w:t xml:space="preserve">sequentially in June, with customer down-payments at a</w:t>
      </w:r>
      <w:r>
        <w:t xml:space="preserve"> </w:t>
      </w:r>
      <w:r>
        <w:rPr>
          <w:b/>
          <w:bCs/>
        </w:rPr>
        <w:t xml:space="preserve">4-year low</w:t>
      </w:r>
      <w:r>
        <w:t xml:space="preserve"> </w:t>
      </w:r>
      <w:r>
        <w:t xml:space="preserve">(concentrated among the smaller, mostly-China customers).</w:t>
      </w:r>
    </w:p>
    <w:p>
      <w:pPr>
        <w:pStyle w:val="FirstParagraph"/>
      </w:pPr>
      <w:r>
        <w:t xml:space="preserve">The net effect: a stock that re-rated to a rich multiple (well above Lam's historical ~20x range) now has to defend an elevated valuation against souring memory sentiment.</w:t>
      </w:r>
    </w:p>
    <w:p>
      <w:r>
        <w:pict>
          <v:rect style="width:0;height:1.5pt" o:hralign="center" o:hrstd="t" o:hr="t"/>
        </w:pict>
      </w:r>
    </w:p>
    <w:bookmarkEnd w:id="12"/>
    <w:bookmarkStart w:id="13" w:name="what-id-watch-on-the-call"/>
    <w:p>
      <w:pPr>
        <w:pStyle w:val="Heading2"/>
      </w:pPr>
      <w:r>
        <w:t xml:space="preserve">What I'd Watch on the Call</w:t>
      </w:r>
    </w:p>
    <w:p>
      <w:pPr>
        <w:pStyle w:val="Compact"/>
        <w:numPr>
          <w:ilvl w:val="0"/>
          <w:numId w:val="1003"/>
        </w:numPr>
      </w:pPr>
      <w:r>
        <w:rPr>
          <w:b/>
          <w:bCs/>
        </w:rPr>
        <w:t xml:space="preserve">The September guide.</w:t>
      </w:r>
      <w:r>
        <w:t xml:space="preserve"> </w:t>
      </w:r>
      <w:r>
        <w:t xml:space="preserve">The most important number. With clean-room capacity said to be freeing up into 2027, does the sequential ramp continue, or does memory hesitation show up first here?</w:t>
      </w:r>
    </w:p>
    <w:p>
      <w:pPr>
        <w:pStyle w:val="Compact"/>
        <w:numPr>
          <w:ilvl w:val="0"/>
          <w:numId w:val="1003"/>
        </w:numPr>
      </w:pPr>
      <w:r>
        <w:rPr>
          <w:b/>
          <w:bCs/>
        </w:rPr>
        <w:t xml:space="preserve">First read on 2027 WFE.</w:t>
      </w:r>
      <w:r>
        <w:t xml:space="preserve"> </w:t>
      </w:r>
      <w:r>
        <w:t xml:space="preserve">Management sounded confident ("feels like it's setting up to be a pretty good year in '27"). Any framing — even qualitative — will move the stock more than the June actuals.</w:t>
      </w:r>
    </w:p>
    <w:p>
      <w:pPr>
        <w:pStyle w:val="Compact"/>
        <w:numPr>
          <w:ilvl w:val="0"/>
          <w:numId w:val="1003"/>
        </w:numPr>
      </w:pPr>
      <w:r>
        <w:rPr>
          <w:b/>
          <w:bCs/>
        </w:rPr>
        <w:t xml:space="preserve">Updated long-term model.</w:t>
      </w:r>
      <w:r>
        <w:t xml:space="preserve"> </w:t>
      </w:r>
      <w:r>
        <w:t xml:space="preserve">Bettinger flagged it's coming "later in the year." If they raise the target operating model (margins already above the old framework), that's a bull catalyst; silence may disappoint.</w:t>
      </w:r>
    </w:p>
    <w:p>
      <w:pPr>
        <w:pStyle w:val="Compact"/>
        <w:numPr>
          <w:ilvl w:val="0"/>
          <w:numId w:val="1003"/>
        </w:numPr>
      </w:pPr>
      <w:r>
        <w:rPr>
          <w:b/>
          <w:bCs/>
        </w:rPr>
        <w:t xml:space="preserve">Memory cycle risk management.</w:t>
      </w:r>
      <w:r>
        <w:t xml:space="preserve"> </w:t>
      </w:r>
      <w:r>
        <w:t xml:space="preserve">Given the SK Hynix rout, expect pointed questions on whether "this time is different" and how Lam de-risks if memory pricing rolls over. Watch DRAM (1c/HBM) and NAND conversion cadence.</w:t>
      </w:r>
    </w:p>
    <w:p>
      <w:pPr>
        <w:pStyle w:val="Compact"/>
        <w:numPr>
          <w:ilvl w:val="0"/>
          <w:numId w:val="1003"/>
        </w:numPr>
      </w:pPr>
      <w:r>
        <w:rPr>
          <w:b/>
          <w:bCs/>
        </w:rPr>
        <w:t xml:space="preserve">China trajectory + domestic competition.</w:t>
      </w:r>
      <w:r>
        <w:t xml:space="preserve"> </w:t>
      </w:r>
      <w:r>
        <w:t xml:space="preserve">Magnitude of the guided China decline, and any commentary on Chinese DUV/local tool competition as a longer-term threat.</w:t>
      </w:r>
    </w:p>
    <w:p>
      <w:pPr>
        <w:pStyle w:val="Compact"/>
        <w:numPr>
          <w:ilvl w:val="0"/>
          <w:numId w:val="1003"/>
        </w:numPr>
      </w:pPr>
      <w:r>
        <w:rPr>
          <w:b/>
          <w:bCs/>
        </w:rPr>
        <w:t xml:space="preserve">Gross-margin durability.</w:t>
      </w:r>
      <w:r>
        <w:t xml:space="preserve"> </w:t>
      </w:r>
      <w:r>
        <w:t xml:space="preserve">Confirmation that ~50.5% holds despite acknowledged customer-mix headwinds; any comment on tariffs/supply-chain cost.</w:t>
      </w:r>
    </w:p>
    <w:p>
      <w:pPr>
        <w:pStyle w:val="Compact"/>
        <w:numPr>
          <w:ilvl w:val="0"/>
          <w:numId w:val="1003"/>
        </w:numPr>
      </w:pPr>
      <w:r>
        <w:rPr>
          <w:b/>
          <w:bCs/>
        </w:rPr>
        <w:t xml:space="preserve">Backlog / visibility / lead times.</w:t>
      </w:r>
      <w:r>
        <w:t xml:space="preserve"> </w:t>
      </w:r>
      <w:r>
        <w:t xml:space="preserve">Whether long-term customer commitments (LTAs, new mega-fab projects) are translating into firmer 2027 slotting.</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Fundamentally, this should be another record, beat-and-raise-flavored quarter, and Lam's structural story (rising etch/deposition intensity, NAND pull-forward, advanced packaging, record CSBG, 50%+ margins) is intact. The risk is</w:t>
      </w:r>
      <w:r>
        <w:t xml:space="preserve"> </w:t>
      </w:r>
      <w:r>
        <w:rPr>
          <w:b/>
          <w:bCs/>
        </w:rPr>
        <w:t xml:space="preserve">entirely in the reaction function</w:t>
      </w:r>
      <w:r>
        <w:t xml:space="preserve">: after a ~38% drawdown, expectations have reset, but so has sentiment toward memory and China. If management delivers an upside June quarter, guides September higher, and offers a constructive 2027 framing (ideally with a refreshed long-term model), the setup favors a relief rally off oversold levels. If the September guide merely meets, or China/memory commentary sounds cautious, an in-line quarter may not be enough to stop the bleeding given where the multiple still sits.</w:t>
      </w:r>
    </w:p>
    <w:p>
      <w:pPr>
        <w:pStyle w:val="BodyText"/>
      </w:pPr>
      <w:r>
        <w:rPr>
          <w:i/>
          <w:iCs/>
        </w:rPr>
        <w:t xml:space="preserve">Note: Figures above are drawn from Lam's March-quarter (fiscal Q3 2026) earnings release and call, publicly reported consensus estimates, and late-July market news; guidance ranges are management's own from the April 22, 2026 call.</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2026-07-29T01:40:11Z</dcterms:created>
  <dcterms:modified xsi:type="dcterms:W3CDTF">2026-07-29T01:40:11Z</dcterms:modified>
</cp:coreProperties>
</file>

<file path=docProps/custom.xml><?xml version="1.0" encoding="utf-8"?>
<Properties xmlns="http://schemas.openxmlformats.org/officeDocument/2006/custom-properties" xmlns:vt="http://schemas.openxmlformats.org/officeDocument/2006/docPropsVTypes"/>
</file>