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lrcx-earnings-predictions--2026-07-29"/>
    <w:p>
      <w:pPr>
        <w:pStyle w:val="Heading1"/>
      </w:pPr>
      <w:r>
        <w:t xml:space="preserve">LRCX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LRCX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Q4 FY26 (June qtr)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6.85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6.75B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LRCX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Q4 FY26 Non-GAAP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1.74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1.70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LRCX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Q4 FY26 Non-GAAP Gross Margin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~50.9% vs. cons ~50.5%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LRCX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FQ1 FY27 (Sept quarter) Revenue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7.05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6.95B (Sept 2026 quarter)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LRCX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FQ1 FY27 (Sept quarter) Non-GAAP EPS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1.80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1.75 (Sept 2026 quarter)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LRCX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CY2026 WFE Outlook Commentary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145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p</m:t>
              </m:r>
              <m:r>
                <m:t>r</m:t>
              </m:r>
              <m:r>
                <m:t>i</m:t>
              </m:r>
              <m:r>
                <m:t>o</m:t>
              </m:r>
              <m:r>
                <m:t>r</m:t>
              </m:r>
              <m:r>
                <m:rPr>
                  <m:sty m:val="p"/>
                </m:rPr>
                <m:t>/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140B (calendar year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LRCX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-3.0%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LRCX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-1.0% (FADE)</w:t>
            </w:r>
          </w:p>
        </w:tc>
        <w:tc>
          <w:tcPr/>
          <w:p>
            <w:pPr>
              <w:pStyle w:val="Compact"/>
            </w:pPr>
            <w:r>
              <w:t xml:space="preserve">KLA's in-line print with a modestly-above-consensus guide still sold off &gt;7% AH, and ASML's China-DUV scare has soured sector sentiment right into LRCX's print, so even a genuine beat-and-raise likely gets sold initially given the extreme bar. But unlike KLA/ASML, LRCX is already down ~38% from its June high on macro/sentiment (not fundamental) grounds, and underlying drivers (NAND conversion pull-forward, DRAM/HBM 1c-node content, WFE estimates trending up from MS/BofA) remain intact and arguably strengthening. That combination — stock already de-risked plus supportive out-quarter math (Sept-quarter guide likely above Street, WFE commentary likely raised) — should draw buy-the-dip flows and sell-side reiterations over the following days, causing the initial negative reaction to partially fade rather than extend into a deeper follow-through decline.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2026-07-29T01:40:21Z</dcterms:created>
  <dcterms:modified xsi:type="dcterms:W3CDTF">2026-07-29T01:40:21Z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