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rcx-earnings-predictions--2026-07-29"/>
    <w:p>
      <w:pPr>
        <w:pStyle w:val="Heading1"/>
      </w:pPr>
      <w:r>
        <w:t xml:space="preserve">LRCX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~$6.82B vs. cons $6.67B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~$1.76 vs. cons $1.69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Fiscal Q4 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~50.8% vs. cons 50.5%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~$7.20B vs. cons $7.09B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non-GAAP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~$1.88 vs. cons $1.83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Fiscal Q1 2027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~50.5% vs. cons 50.5% (fiscal Q1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Calendar 2026 WFE outlook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153B (calendar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LRCX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+4.6%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September-quarter guide implies a revenue run rate of ~</w:t>
            </w:r>
            <m:oMath>
              <m:r>
                <m:t>7.20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7.09B consensus and EPS of ~</w:t>
            </w:r>
            <m:oMath>
              <m:r>
                <m:t>1.88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1.83, supporting upward fiscal 2027 revisions after the headline beat; an approximately</w:t>
            </w:r>
            <w:r>
              <w:t xml:space="preserve"> </w:t>
            </w:r>
            <m:oMath>
              <m:r>
                <m:t>152</m:t>
              </m:r>
              <m:r>
                <m:t>B</m:t>
              </m:r>
              <m:r>
                <m:t>W</m:t>
              </m:r>
              <m:r>
                <m:t>F</m:t>
              </m:r>
              <m:r>
                <m:t>E</m:t>
              </m:r>
              <m:r>
                <m:t>o</m:t>
              </m:r>
              <m:r>
                <m:t>u</m:t>
              </m:r>
              <m:r>
                <m:t>t</m:t>
              </m:r>
              <m:r>
                <m:t>l</m:t>
              </m:r>
              <m:r>
                <m:t>o</m:t>
              </m:r>
              <m:r>
                <m:t>o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153B expectations limits, but does not reverse, the positive estimate math.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2026-07-29T01:41:22Z</dcterms:created>
  <dcterms:modified xsi:type="dcterms:W3CDTF">2026-07-29T01:41:22Z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