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10804d02708bc2497091856415aa3c02f5f3e0"/>
    <w:p>
      <w:pPr>
        <w:pStyle w:val="Heading1"/>
      </w:pPr>
      <w:r>
        <w:t xml:space="preserve">Lam Research (LRCX) Fiscal Q4 2026 Earnings Preview</w:t>
      </w:r>
    </w:p>
    <w:p>
      <w:pPr>
        <w:pStyle w:val="BlockText"/>
      </w:pPr>
      <w:r>
        <w:rPr>
          <w:b/>
          <w:bCs/>
        </w:rPr>
        <w:t xml:space="preserve">Date clarification:</w:t>
      </w:r>
      <w:r>
        <w:t xml:space="preserve"> </w:t>
      </w:r>
      <w:r>
        <w:t xml:space="preserve">Lam is scheduled to report</w:t>
      </w:r>
      <w:r>
        <w:t xml:space="preserve"> </w:t>
      </w:r>
      <w:r>
        <w:rPr>
          <w:b/>
          <w:bCs/>
        </w:rPr>
        <w:t xml:space="preserve">today, Wednesday, July 29, 2026</w:t>
      </w:r>
      <w:r>
        <w:t xml:space="preserve">, after the market closes—not tomorrow. The conference call begins at</w:t>
      </w:r>
      <w:r>
        <w:t xml:space="preserve"> </w:t>
      </w:r>
      <w:r>
        <w:rPr>
          <w:b/>
          <w:bCs/>
        </w:rPr>
        <w:t xml:space="preserve">5:00 p.m. ET / 2:00 p.m. PT</w:t>
      </w:r>
      <w:r>
        <w:t xml:space="preserve">. (</w:t>
      </w:r>
      <w:hyperlink r:id="rId9">
        <w:r>
          <w:rPr>
            <w:rStyle w:val="Hyperlink"/>
          </w:rPr>
          <w:t xml:space="preserve">newsroom.lamresearch.com</w:t>
        </w:r>
      </w:hyperlink>
      <w:r>
        <w:t xml:space="preserve">)</w:t>
      </w:r>
    </w:p>
    <w:bookmarkStart w:id="11" w:name="investment-view-going-into-the-print"/>
    <w:p>
      <w:pPr>
        <w:pStyle w:val="Heading2"/>
      </w:pPr>
      <w:r>
        <w:t xml:space="preserve">Investment view going into the print</w:t>
      </w:r>
    </w:p>
    <w:p>
      <w:pPr>
        <w:pStyle w:val="FirstParagraph"/>
      </w:pPr>
      <w:r>
        <w:t xml:space="preserve">The June-quarter numbers should be strong. The harder question is whether Lam can raise expectations quickly enough to match a rapidly improving wafer-fab-equipment environment.</w:t>
      </w:r>
    </w:p>
    <w:p>
      <w:pPr>
        <w:pStyle w:val="BodyText"/>
      </w:pPr>
      <w:r>
        <w:t xml:space="preserve">Investor attention should therefore center less on whether LRCX beats fiscal Q4 consensus and more on:</w:t>
      </w:r>
    </w:p>
    <w:p>
      <w:pPr>
        <w:pStyle w:val="Compact"/>
        <w:numPr>
          <w:ilvl w:val="0"/>
          <w:numId w:val="1001"/>
        </w:numPr>
      </w:pPr>
      <w:r>
        <w:rPr>
          <w:b/>
          <w:bCs/>
        </w:rPr>
        <w:t xml:space="preserve">September-quarter guidance</w:t>
      </w:r>
      <w:r>
        <w:t xml:space="preserve">, especially relative to the roughly</w:t>
      </w:r>
      <w:r>
        <w:t xml:space="preserve"> </w:t>
      </w:r>
      <w:r>
        <w:rPr>
          <w:b/>
          <w:bCs/>
        </w:rPr>
        <w:t xml:space="preserve">$1.83 EPS</w:t>
      </w:r>
      <w:r>
        <w:t xml:space="preserve"> </w:t>
      </w:r>
      <w:r>
        <w:t xml:space="preserve">consensus.</w:t>
      </w:r>
    </w:p>
    <w:p>
      <w:pPr>
        <w:pStyle w:val="Compact"/>
        <w:numPr>
          <w:ilvl w:val="0"/>
          <w:numId w:val="1001"/>
        </w:numPr>
      </w:pPr>
      <w:r>
        <w:t xml:space="preserve">An upward revision to Lam’s</w:t>
      </w:r>
      <w:r>
        <w:t xml:space="preserve"> </w:t>
      </w:r>
      <w:r>
        <w:rPr>
          <w:b/>
          <w:bCs/>
        </w:rPr>
        <w:t xml:space="preserve">2026 WFE outlook</w:t>
      </w:r>
      <w:r>
        <w:t xml:space="preserve">, previously approximately $140 billion with upside bias.</w:t>
      </w:r>
    </w:p>
    <w:p>
      <w:pPr>
        <w:pStyle w:val="Compact"/>
        <w:numPr>
          <w:ilvl w:val="0"/>
          <w:numId w:val="1001"/>
        </w:numPr>
      </w:pPr>
      <w:r>
        <w:t xml:space="preserve">Evidence that</w:t>
      </w:r>
      <w:r>
        <w:t xml:space="preserve"> </w:t>
      </w:r>
      <w:r>
        <w:rPr>
          <w:b/>
          <w:bCs/>
        </w:rPr>
        <w:t xml:space="preserve">NAND spending is becoming a meaningful second growth leg</w:t>
      </w:r>
      <w:r>
        <w:t xml:space="preserve"> </w:t>
      </w:r>
      <w:r>
        <w:t xml:space="preserve">alongside DRAM/HBM.</w:t>
      </w:r>
    </w:p>
    <w:p>
      <w:pPr>
        <w:pStyle w:val="Compact"/>
        <w:numPr>
          <w:ilvl w:val="0"/>
          <w:numId w:val="1001"/>
        </w:numPr>
      </w:pPr>
      <w:r>
        <w:t xml:space="preserve">Whether gross margin can remain around or above 50% despite tariffs, higher input costs and customer mix.</w:t>
      </w:r>
    </w:p>
    <w:p>
      <w:pPr>
        <w:pStyle w:val="Compact"/>
        <w:numPr>
          <w:ilvl w:val="0"/>
          <w:numId w:val="1001"/>
        </w:numPr>
      </w:pPr>
      <w:r>
        <w:t xml:space="preserve">Management’s confidence in another strong—and potentially accelerating—WFE year in 2027.</w:t>
      </w:r>
    </w:p>
    <w:p>
      <w:pPr>
        <w:pStyle w:val="FirstParagraph"/>
      </w:pPr>
      <w:r>
        <w:t xml:space="preserve">The broader backdrop is favorable. KLA reported record June-quarter revenue on July 28, guided September-quarter revenue to $4.0 billion, and said semiconductor-equipment momentum should accelerate in the second half of 2026 and continue through 2027. (</w:t>
      </w:r>
      <w:hyperlink r:id="rId10">
        <w:r>
          <w:rPr>
            <w:rStyle w:val="Hyperlink"/>
          </w:rPr>
          <w:t xml:space="preserve">ir.kla.com</w:t>
        </w:r>
      </w:hyperlink>
      <w:r>
        <w:t xml:space="preserve">)</w:t>
      </w:r>
    </w:p>
    <w:p>
      <w:r>
        <w:pict>
          <v:rect style="width:0;height:1.5pt" o:hralign="center" o:hrstd="t" o:hr="t"/>
        </w:pict>
      </w:r>
    </w:p>
    <w:bookmarkEnd w:id="11"/>
    <w:bookmarkStart w:id="16" w:name="the-numbers-to-know"/>
    <w:p>
      <w:pPr>
        <w:pStyle w:val="Heading2"/>
      </w:pPr>
      <w:r>
        <w:t xml:space="preserve">The numbers to know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Q4 consensus</w:t>
            </w:r>
          </w:p>
        </w:tc>
        <w:tc>
          <w:tcPr/>
          <w:p>
            <w:pPr>
              <w:pStyle w:val="Compact"/>
              <w:jc w:val="right"/>
            </w:pPr>
            <w:r>
              <w:t xml:space="preserve">Lam’s prior guidance</w:t>
            </w:r>
          </w:p>
        </w:tc>
        <w:tc>
          <w:tcPr/>
          <w:p>
            <w:pPr>
              <w:pStyle w:val="Compact"/>
              <w:jc w:val="right"/>
            </w:pPr>
            <w:r>
              <w:t xml:space="preserve">Fiscal Q3 actual</w:t>
            </w:r>
          </w:p>
        </w:tc>
      </w:tr>
      <w:tr>
        <w:tc>
          <w:tcPr/>
          <w:p>
            <w:pPr>
              <w:pStyle w:val="Compact"/>
            </w:pPr>
            <w:r>
              <w:t xml:space="preserve">Revenue</w:t>
            </w:r>
          </w:p>
        </w:tc>
        <w:tc>
          <w:tcPr/>
          <w:p>
            <w:pPr>
              <w:pStyle w:val="Compact"/>
              <w:jc w:val="right"/>
            </w:pPr>
            <w:r>
              <w:rPr>
                <w:b/>
                <w:bCs/>
              </w:rPr>
              <w:t xml:space="preserve">~$6.67B</w:t>
            </w:r>
          </w:p>
        </w:tc>
        <w:tc>
          <w:tcPr/>
          <w:p>
            <w:pPr>
              <w:pStyle w:val="Compact"/>
              <w:jc w:val="right"/>
            </w:pPr>
            <w:r>
              <w:rPr>
                <w:b/>
                <w:bCs/>
              </w:rPr>
              <w:t xml:space="preserve">$6.60B ± $400M</w:t>
            </w:r>
          </w:p>
        </w:tc>
        <w:tc>
          <w:tcPr/>
          <w:p>
            <w:pPr>
              <w:pStyle w:val="Compact"/>
              <w:jc w:val="right"/>
            </w:pPr>
            <w:r>
              <w:t xml:space="preserve">$5.84B</w:t>
            </w:r>
          </w:p>
        </w:tc>
      </w:tr>
      <w:tr>
        <w:tc>
          <w:tcPr/>
          <w:p>
            <w:pPr>
              <w:pStyle w:val="Compact"/>
            </w:pPr>
            <w:r>
              <w:t xml:space="preserve">Non-GAAP EPS</w:t>
            </w:r>
          </w:p>
        </w:tc>
        <w:tc>
          <w:tcPr/>
          <w:p>
            <w:pPr>
              <w:pStyle w:val="Compact"/>
              <w:jc w:val="right"/>
            </w:pPr>
            <w:r>
              <w:rPr>
                <w:b/>
                <w:bCs/>
              </w:rPr>
              <w:t xml:space="preserve">~$1.69</w:t>
            </w:r>
          </w:p>
        </w:tc>
        <w:tc>
          <w:tcPr/>
          <w:p>
            <w:pPr>
              <w:pStyle w:val="Compact"/>
              <w:jc w:val="right"/>
            </w:pPr>
            <w:r>
              <w:rPr>
                <w:b/>
                <w:bCs/>
              </w:rPr>
              <w:t xml:space="preserve">$1.65 ± $0.15</w:t>
            </w:r>
          </w:p>
        </w:tc>
        <w:tc>
          <w:tcPr/>
          <w:p>
            <w:pPr>
              <w:pStyle w:val="Compact"/>
              <w:jc w:val="right"/>
            </w:pPr>
            <w:r>
              <w:t xml:space="preserve">$1.47</w:t>
            </w:r>
          </w:p>
        </w:tc>
      </w:tr>
      <w:tr>
        <w:tc>
          <w:tcPr/>
          <w:p>
            <w:pPr>
              <w:pStyle w:val="Compact"/>
            </w:pPr>
            <w:r>
              <w:t xml:space="preserve">Non-GAAP gross margin</w:t>
            </w:r>
          </w:p>
        </w:tc>
        <w:tc>
          <w:tcPr/>
          <w:p>
            <w:pPr>
              <w:pStyle w:val="Compact"/>
              <w:jc w:val="right"/>
            </w:pPr>
            <w:r>
              <w:t xml:space="preserve">—</w:t>
            </w:r>
          </w:p>
        </w:tc>
        <w:tc>
          <w:tcPr/>
          <w:p>
            <w:pPr>
              <w:pStyle w:val="Compact"/>
              <w:jc w:val="right"/>
            </w:pPr>
            <w:r>
              <w:rPr>
                <w:b/>
                <w:bCs/>
              </w:rPr>
              <w:t xml:space="preserve">50.5% ± 1.0%</w:t>
            </w:r>
          </w:p>
        </w:tc>
        <w:tc>
          <w:tcPr/>
          <w:p>
            <w:pPr>
              <w:pStyle w:val="Compact"/>
              <w:jc w:val="right"/>
            </w:pPr>
            <w:r>
              <w:t xml:space="preserve">49.9%</w:t>
            </w:r>
          </w:p>
        </w:tc>
      </w:tr>
      <w:tr>
        <w:tc>
          <w:tcPr/>
          <w:p>
            <w:pPr>
              <w:pStyle w:val="Compact"/>
            </w:pPr>
            <w:r>
              <w:t xml:space="preserve">Non-GAAP operating margin</w:t>
            </w:r>
          </w:p>
        </w:tc>
        <w:tc>
          <w:tcPr/>
          <w:p>
            <w:pPr>
              <w:pStyle w:val="Compact"/>
              <w:jc w:val="right"/>
            </w:pPr>
            <w:r>
              <w:t xml:space="preserve">—</w:t>
            </w:r>
          </w:p>
        </w:tc>
        <w:tc>
          <w:tcPr/>
          <w:p>
            <w:pPr>
              <w:pStyle w:val="Compact"/>
              <w:jc w:val="right"/>
            </w:pPr>
            <w:r>
              <w:rPr>
                <w:b/>
                <w:bCs/>
              </w:rPr>
              <w:t xml:space="preserve">36.5% ± 1.0%</w:t>
            </w:r>
          </w:p>
        </w:tc>
        <w:tc>
          <w:tcPr/>
          <w:p>
            <w:pPr>
              <w:pStyle w:val="Compact"/>
              <w:jc w:val="right"/>
            </w:pPr>
            <w:r>
              <w:t xml:space="preserve">35.0%</w:t>
            </w:r>
          </w:p>
        </w:tc>
      </w:tr>
    </w:tbl>
    <w:p>
      <w:pPr>
        <w:pStyle w:val="BodyText"/>
      </w:pPr>
      <w:r>
        <w:t xml:space="preserve">Consensus implies approximately</w:t>
      </w:r>
      <w:r>
        <w:t xml:space="preserve"> </w:t>
      </w:r>
      <w:r>
        <w:rPr>
          <w:b/>
          <w:bCs/>
        </w:rPr>
        <w:t xml:space="preserve">29% year-over-year revenue growth</w:t>
      </w:r>
      <w:r>
        <w:t xml:space="preserve"> </w:t>
      </w:r>
      <w:r>
        <w:t xml:space="preserve">and</w:t>
      </w:r>
      <w:r>
        <w:t xml:space="preserve"> </w:t>
      </w:r>
      <w:r>
        <w:rPr>
          <w:b/>
          <w:bCs/>
        </w:rPr>
        <w:t xml:space="preserve">27% EPS growth</w:t>
      </w:r>
      <w:r>
        <w:t xml:space="preserve">. The Street is only modestly above Lam’s guidance midpoint, although estimates have risen heading into the report. (</w:t>
      </w:r>
      <w:hyperlink r:id="rId12">
        <w:r>
          <w:rPr>
            <w:rStyle w:val="Hyperlink"/>
          </w:rPr>
          <w:t xml:space="preserve">zacks.com</w:t>
        </w:r>
      </w:hyperlink>
      <w:r>
        <w:t xml:space="preserve">)</w:t>
      </w:r>
    </w:p>
    <w:p>
      <w:pPr>
        <w:pStyle w:val="BodyText"/>
      </w:pPr>
      <w:r>
        <w:t xml:space="preserve">Lam entered the quarter with strong momentum: March-quarter revenue rose 9% sequentially to a record $5.84 billion, customer-support revenue reached $2.11 billion, and non-GAAP EPS exceeded the top end of guidance. (</w:t>
      </w:r>
      <w:hyperlink r:id="rId13">
        <w:r>
          <w:rPr>
            <w:rStyle w:val="Hyperlink"/>
          </w:rPr>
          <w:t xml:space="preserve">investor.lamresearch.com</w:t>
        </w:r>
      </w:hyperlink>
      <w:r>
        <w:t xml:space="preserve">)</w:t>
      </w:r>
    </w:p>
    <w:bookmarkStart w:id="15" w:name="september-quarter-hurdle"/>
    <w:p>
      <w:pPr>
        <w:pStyle w:val="Heading3"/>
      </w:pPr>
      <w:r>
        <w:t xml:space="preserve">September-quarter hurdle</w:t>
      </w:r>
    </w:p>
    <w:p>
      <w:pPr>
        <w:pStyle w:val="FirstParagraph"/>
      </w:pPr>
      <w:r>
        <w:t xml:space="preserve">The current EPS consensus for fiscal Q1 2027 is approximately</w:t>
      </w:r>
      <w:r>
        <w:t xml:space="preserve"> </w:t>
      </w:r>
      <w:r>
        <w:rPr>
          <w:b/>
          <w:bCs/>
        </w:rPr>
        <w:t xml:space="preserve">$1.83</w:t>
      </w:r>
      <w:r>
        <w:t xml:space="preserve">, with estimates ranging from $1.75 to $1.94. That is the more important near-term bogey because it implies continued sequential growth following the large June-quarter ramp. (</w:t>
      </w:r>
      <w:hyperlink r:id="rId14">
        <w:r>
          <w:rPr>
            <w:rStyle w:val="Hyperlink"/>
          </w:rPr>
          <w:t xml:space="preserve">barchart.com</w:t>
        </w:r>
      </w:hyperlink>
      <w:r>
        <w:t xml:space="preserve">)</w:t>
      </w:r>
    </w:p>
    <w:p>
      <w:pPr>
        <w:pStyle w:val="BodyText"/>
      </w:pPr>
      <w:r>
        <w:t xml:space="preserve">A fiscal Q4 beat accompanied by September guidance below the Street could still be interpreted negatively.</w:t>
      </w:r>
    </w:p>
    <w:p>
      <w:r>
        <w:pict>
          <v:rect style="width:0;height:1.5pt" o:hralign="center" o:hrstd="t" o:hr="t"/>
        </w:pict>
      </w:r>
    </w:p>
    <w:bookmarkEnd w:id="15"/>
    <w:bookmarkEnd w:id="16"/>
    <w:bookmarkStart w:id="25" w:name="key-issues-for-the-call"/>
    <w:p>
      <w:pPr>
        <w:pStyle w:val="Heading2"/>
      </w:pPr>
      <w:r>
        <w:t xml:space="preserve">Key issues for the call</w:t>
      </w:r>
    </w:p>
    <w:bookmarkStart w:id="18" w:name="Xc174beaa2cf2f7578986637e4fe85b6d1c35c79"/>
    <w:p>
      <w:pPr>
        <w:pStyle w:val="Heading3"/>
      </w:pPr>
      <w:r>
        <w:t xml:space="preserve">1. Does Lam materially raise its WFE outlook?</w:t>
      </w:r>
    </w:p>
    <w:p>
      <w:pPr>
        <w:pStyle w:val="FirstParagraph"/>
      </w:pPr>
      <w:r>
        <w:t xml:space="preserve">In April, Lam increased its 2026 wafer-fab-equipment estimate from approximately</w:t>
      </w:r>
      <w:r>
        <w:t xml:space="preserve"> </w:t>
      </w:r>
      <m:oMath>
        <m:r>
          <m:t>135</m:t>
        </m:r>
        <m:r>
          <m:t>b</m:t>
        </m:r>
        <m:r>
          <m:t>i</m:t>
        </m:r>
        <m:r>
          <m:t>l</m:t>
        </m:r>
        <m:r>
          <m:t>l</m:t>
        </m:r>
        <m:r>
          <m:t>i</m:t>
        </m:r>
        <m:r>
          <m:t>o</m:t>
        </m:r>
        <m:r>
          <m:t>n</m:t>
        </m:r>
        <m:r>
          <m:t>t</m:t>
        </m:r>
        <m:r>
          <m:t>o</m:t>
        </m:r>
        <m:r>
          <m:rPr>
            <m:sty m:val="p"/>
          </m:rPr>
          <m:t>*</m:t>
        </m:r>
        <m:r>
          <m:rPr>
            <m:sty m:val="p"/>
          </m:rPr>
          <m:t>*</m:t>
        </m:r>
      </m:oMath>
      <w:r>
        <w:t xml:space="preserve">140 billion with upside bias**. Since then, industry expectations have moved higher.</w:t>
      </w:r>
    </w:p>
    <w:p>
      <w:pPr>
        <w:pStyle w:val="BodyText"/>
      </w:pPr>
      <w:r>
        <w:t xml:space="preserve">KLA’s July 28 call placed 2026 WFE, including advanced packaging, in the</w:t>
      </w:r>
      <w:r>
        <w:t xml:space="preserve"> </w:t>
      </w:r>
      <w:r>
        <w:rPr>
          <w:b/>
          <w:bCs/>
        </w:rPr>
        <w:t xml:space="preserve">low-</w:t>
      </w:r>
      <m:oMath>
        <m:r>
          <m:t>150</m:t>
        </m:r>
        <m:r>
          <m:t>b</m:t>
        </m:r>
        <m:r>
          <m:t>i</m:t>
        </m:r>
        <m:r>
          <m:t>l</m:t>
        </m:r>
        <m:r>
          <m:t>l</m:t>
        </m:r>
        <m:r>
          <m:t>i</m:t>
        </m:r>
        <m:r>
          <m:t>o</m:t>
        </m:r>
        <m:r>
          <m:t>n</m:t>
        </m:r>
        <m:r>
          <m:t>a</m:t>
        </m:r>
        <m:r>
          <m:t>r</m:t>
        </m:r>
        <m:r>
          <m:t>e</m:t>
        </m:r>
        <m:r>
          <m:t>a</m:t>
        </m:r>
        <m:r>
          <m:rPr>
            <m:sty m:val="p"/>
          </m:rPr>
          <m:t>*</m:t>
        </m:r>
        <m:r>
          <m:rPr>
            <m:sty m:val="p"/>
          </m:rPr>
          <m:t>*</m:t>
        </m:r>
        <m:r>
          <m:t>a</m:t>
        </m:r>
        <m:r>
          <m:t>n</m:t>
        </m:r>
        <m:r>
          <m:t>d</m:t>
        </m:r>
        <m:r>
          <m:t>d</m:t>
        </m:r>
        <m:r>
          <m:t>i</m:t>
        </m:r>
        <m:r>
          <m:t>s</m:t>
        </m:r>
        <m:r>
          <m:t>c</m:t>
        </m:r>
        <m:r>
          <m:t>u</m:t>
        </m:r>
        <m:r>
          <m:t>s</m:t>
        </m:r>
        <m:r>
          <m:t>s</m:t>
        </m:r>
        <m:r>
          <m:t>e</m:t>
        </m:r>
        <m:r>
          <m:t>d</m:t>
        </m:r>
        <m:r>
          <m:t>a</m:t>
        </m:r>
        <m:r>
          <m:t>n</m:t>
        </m:r>
        <m:r>
          <m:t>i</m:t>
        </m:r>
        <m:r>
          <m:t>n</m:t>
        </m:r>
        <m:r>
          <m:t>d</m:t>
        </m:r>
        <m:r>
          <m:t>u</m:t>
        </m:r>
        <m:r>
          <m:t>s</m:t>
        </m:r>
        <m:r>
          <m:t>t</m:t>
        </m:r>
        <m:r>
          <m:t>r</m:t>
        </m:r>
        <m:r>
          <m:t>y</m:t>
        </m:r>
        <m:r>
          <m:t>v</m:t>
        </m:r>
        <m:r>
          <m:t>i</m:t>
        </m:r>
        <m:r>
          <m:t>e</m:t>
        </m:r>
        <m:r>
          <m:t>w</m:t>
        </m:r>
        <m:r>
          <m:t>n</m:t>
        </m:r>
        <m:r>
          <m:t>e</m:t>
        </m:r>
        <m:r>
          <m:t>a</m:t>
        </m:r>
        <m:r>
          <m:t>r</m:t>
        </m:r>
        <m:r>
          <m:rPr>
            <m:sty m:val="p"/>
          </m:rPr>
          <m:t>*</m:t>
        </m:r>
        <m:r>
          <m:rPr>
            <m:sty m:val="p"/>
          </m:rPr>
          <m:t>*</m:t>
        </m:r>
      </m:oMath>
      <w:r>
        <w:rPr>
          <w:b/>
          <w:bCs/>
        </w:rPr>
        <w:t xml:space="preserve">190 billion for 2027</w:t>
      </w:r>
      <w:r>
        <w:t xml:space="preserve">. Separately, sell-side WFE estimates have moved toward approximately $153 billion for 2026 and $190 billion for 2027. (</w:t>
      </w:r>
      <w:hyperlink r:id="rId17">
        <w:r>
          <w:rPr>
            <w:rStyle w:val="Hyperlink"/>
          </w:rPr>
          <w:t xml:space="preserve">ca.investing.com</w:t>
        </w:r>
      </w:hyperlink>
      <w:r>
        <w:t xml:space="preserve">)</w:t>
      </w:r>
    </w:p>
    <w:p>
      <w:pPr>
        <w:pStyle w:val="BodyText"/>
      </w:pPr>
      <w:r>
        <w:t xml:space="preserve">That creates a clear expectation that Lam will raise its own estimate. Investors should assess:</w:t>
      </w:r>
    </w:p>
    <w:p>
      <w:pPr>
        <w:pStyle w:val="Compact"/>
        <w:numPr>
          <w:ilvl w:val="0"/>
          <w:numId w:val="1002"/>
        </w:numPr>
      </w:pPr>
      <w:r>
        <w:t xml:space="preserve">Whether Lam merely catches up to the industry at around $150 billion.</w:t>
      </w:r>
    </w:p>
    <w:p>
      <w:pPr>
        <w:pStyle w:val="Compact"/>
        <w:numPr>
          <w:ilvl w:val="0"/>
          <w:numId w:val="1002"/>
        </w:numPr>
      </w:pPr>
      <w:r>
        <w:t xml:space="preserve">Whether management retains an explicit upside bias.</w:t>
      </w:r>
    </w:p>
    <w:p>
      <w:pPr>
        <w:pStyle w:val="Compact"/>
        <w:numPr>
          <w:ilvl w:val="0"/>
          <w:numId w:val="1002"/>
        </w:numPr>
      </w:pPr>
      <w:r>
        <w:t xml:space="preserve">How much of the increase is shipment timing and tool pricing versus true unit demand.</w:t>
      </w:r>
    </w:p>
    <w:p>
      <w:pPr>
        <w:pStyle w:val="Compact"/>
        <w:numPr>
          <w:ilvl w:val="0"/>
          <w:numId w:val="1002"/>
        </w:numPr>
      </w:pPr>
      <w:r>
        <w:t xml:space="preserve">Whether 2027 growth can remain comparable to—or exceed—the exceptionally strong 2026 rate.</w:t>
      </w:r>
    </w:p>
    <w:p>
      <w:pPr>
        <w:pStyle w:val="FirstParagraph"/>
      </w:pPr>
      <w:r>
        <w:rPr>
          <w:b/>
          <w:bCs/>
        </w:rPr>
        <w:t xml:space="preserve">Potential disappointment:</w:t>
      </w:r>
      <w:r>
        <w:t xml:space="preserve"> </w:t>
      </w:r>
      <w:r>
        <w:t xml:space="preserve">Lam raises 2026 WFE only modestly while sounding cautious about 2027.</w:t>
      </w:r>
    </w:p>
    <w:p>
      <w:pPr>
        <w:pStyle w:val="BodyText"/>
      </w:pPr>
      <w:r>
        <w:rPr>
          <w:b/>
          <w:bCs/>
        </w:rPr>
        <w:t xml:space="preserve">Bullish outcome:</w:t>
      </w:r>
      <w:r>
        <w:t xml:space="preserve"> </w:t>
      </w:r>
      <w:r>
        <w:t xml:space="preserve">Management moves toward the low-to-mid $150 billions for 2026 and provides greater confidence that fab-space additions support another major increase in 2027.</w:t>
      </w:r>
    </w:p>
    <w:p>
      <w:r>
        <w:pict>
          <v:rect style="width:0;height:1.5pt" o:hralign="center" o:hrstd="t" o:hr="t"/>
        </w:pict>
      </w:r>
    </w:p>
    <w:bookmarkEnd w:id="18"/>
    <w:bookmarkStart w:id="19" w:name="Xc9f780097b0a171de6a2d2c73db5b4b165b8c15"/>
    <w:p>
      <w:pPr>
        <w:pStyle w:val="Heading3"/>
      </w:pPr>
      <w:r>
        <w:t xml:space="preserve">2. NAND may be the biggest source of incremental upside</w:t>
      </w:r>
    </w:p>
    <w:p>
      <w:pPr>
        <w:pStyle w:val="FirstParagraph"/>
      </w:pPr>
      <w:r>
        <w:t xml:space="preserve">Lam has unusually high exposure to NAND because higher-layer 3D NAND requires substantial deposition and high-aspect-ratio etch content.</w:t>
      </w:r>
    </w:p>
    <w:p>
      <w:pPr>
        <w:pStyle w:val="BodyText"/>
      </w:pPr>
      <w:r>
        <w:t xml:space="preserve">Last quarter, management argued that AI data centers were accelerating demand for higher-capacity, QLC-based enterprise SSDs. It also said the industry’s multiyear spending requirement to convert existing capacity to devices above 200 layers was being pulled forward, with most of that activity expected before the end of 2027.</w:t>
      </w:r>
    </w:p>
    <w:p>
      <w:pPr>
        <w:pStyle w:val="BodyText"/>
      </w:pPr>
      <w:r>
        <w:t xml:space="preserve">The key distinction is between:</w:t>
      </w:r>
    </w:p>
    <w:p>
      <w:pPr>
        <w:pStyle w:val="Compact"/>
        <w:numPr>
          <w:ilvl w:val="0"/>
          <w:numId w:val="1003"/>
        </w:numPr>
      </w:pPr>
      <w:r>
        <w:rPr>
          <w:b/>
          <w:bCs/>
        </w:rPr>
        <w:t xml:space="preserve">Technology conversions and upgrades</w:t>
      </w:r>
      <w:r>
        <w:t xml:space="preserve">, which benefit Lam’s systems and support businesses.</w:t>
      </w:r>
    </w:p>
    <w:p>
      <w:pPr>
        <w:pStyle w:val="Compact"/>
        <w:numPr>
          <w:ilvl w:val="0"/>
          <w:numId w:val="1003"/>
        </w:numPr>
      </w:pPr>
      <w:r>
        <w:rPr>
          <w:b/>
          <w:bCs/>
        </w:rPr>
        <w:t xml:space="preserve">Greenfield NAND capacity</w:t>
      </w:r>
      <w:r>
        <w:t xml:space="preserve">, which would represent a larger and potentially more durable equipment cycle.</w:t>
      </w:r>
    </w:p>
    <w:p>
      <w:pPr>
        <w:pStyle w:val="FirstParagraph"/>
      </w:pPr>
      <w:r>
        <w:t xml:space="preserve">Questions investors should consider:</w:t>
      </w:r>
    </w:p>
    <w:p>
      <w:pPr>
        <w:pStyle w:val="Compact"/>
        <w:numPr>
          <w:ilvl w:val="0"/>
          <w:numId w:val="1004"/>
        </w:numPr>
      </w:pPr>
      <w:r>
        <w:t xml:space="preserve">Is NAND revenue accelerating sequentially in the September and December quarters?</w:t>
      </w:r>
    </w:p>
    <w:p>
      <w:pPr>
        <w:pStyle w:val="Compact"/>
        <w:numPr>
          <w:ilvl w:val="0"/>
          <w:numId w:val="1004"/>
        </w:numPr>
      </w:pPr>
      <w:r>
        <w:t xml:space="preserve">Are customers moving beyond conversions into new wafer capacity?</w:t>
      </w:r>
    </w:p>
    <w:p>
      <w:pPr>
        <w:pStyle w:val="Compact"/>
        <w:numPr>
          <w:ilvl w:val="0"/>
          <w:numId w:val="1004"/>
        </w:numPr>
      </w:pPr>
      <w:r>
        <w:t xml:space="preserve">Is the expected spending concentrated among one or two customers?</w:t>
      </w:r>
    </w:p>
    <w:p>
      <w:pPr>
        <w:pStyle w:val="Compact"/>
        <w:numPr>
          <w:ilvl w:val="0"/>
          <w:numId w:val="1004"/>
        </w:numPr>
      </w:pPr>
      <w:r>
        <w:t xml:space="preserve">Can Lam outperform overall NAND WFE because of rising etch and deposition intensity?</w:t>
      </w:r>
    </w:p>
    <w:p>
      <w:pPr>
        <w:pStyle w:val="FirstParagraph"/>
      </w:pPr>
      <w:r>
        <w:t xml:space="preserve">A stronger NAND outlook could materially improve the perceived durability of the cycle. A DRAM/HBM-only cycle is powerful but concentrated; simultaneous DRAM, NAND, foundry/logic and packaging growth would be much broader.</w:t>
      </w:r>
    </w:p>
    <w:p>
      <w:r>
        <w:pict>
          <v:rect style="width:0;height:1.5pt" o:hralign="center" o:hrstd="t" o:hr="t"/>
        </w:pict>
      </w:r>
    </w:p>
    <w:bookmarkEnd w:id="19"/>
    <w:bookmarkStart w:id="20" w:name="X73d17f7891b090f77d35891e7c2eb15e3849e8f"/>
    <w:p>
      <w:pPr>
        <w:pStyle w:val="Heading3"/>
      </w:pPr>
      <w:r>
        <w:t xml:space="preserve">3. DRAM and HBM remain the core near-term engines</w:t>
      </w:r>
    </w:p>
    <w:p>
      <w:pPr>
        <w:pStyle w:val="FirstParagraph"/>
      </w:pPr>
      <w:r>
        <w:t xml:space="preserve">DRAM accounted for</w:t>
      </w:r>
      <w:r>
        <w:t xml:space="preserve"> </w:t>
      </w:r>
      <w:r>
        <w:rPr>
          <w:b/>
          <w:bCs/>
        </w:rPr>
        <w:t xml:space="preserve">27% of systems revenue</w:t>
      </w:r>
      <w:r>
        <w:t xml:space="preserve"> </w:t>
      </w:r>
      <w:r>
        <w:t xml:space="preserve">last quarter, while total memory represented 39%. Management cited strong HBM investment and migration toward 1c-generation DRAM.</w:t>
      </w:r>
    </w:p>
    <w:p>
      <w:pPr>
        <w:pStyle w:val="BodyText"/>
      </w:pPr>
      <w:r>
        <w:t xml:space="preserve">Investors should listen for:</w:t>
      </w:r>
    </w:p>
    <w:p>
      <w:pPr>
        <w:pStyle w:val="Compact"/>
        <w:numPr>
          <w:ilvl w:val="0"/>
          <w:numId w:val="1005"/>
        </w:numPr>
      </w:pPr>
      <w:r>
        <w:t xml:space="preserve">Continued HBM equipment growth into 2027.</w:t>
      </w:r>
    </w:p>
    <w:p>
      <w:pPr>
        <w:pStyle w:val="Compact"/>
        <w:numPr>
          <w:ilvl w:val="0"/>
          <w:numId w:val="1005"/>
        </w:numPr>
      </w:pPr>
      <w:r>
        <w:t xml:space="preserve">Conventional DRAM capacity additions beyond HBM.</w:t>
      </w:r>
    </w:p>
    <w:p>
      <w:pPr>
        <w:pStyle w:val="Compact"/>
        <w:numPr>
          <w:ilvl w:val="0"/>
          <w:numId w:val="1005"/>
        </w:numPr>
      </w:pPr>
      <w:r>
        <w:t xml:space="preserve">Adoption of Lam’s Striker deposition tools for advanced low-k dielectric applications.</w:t>
      </w:r>
    </w:p>
    <w:p>
      <w:pPr>
        <w:pStyle w:val="Compact"/>
        <w:numPr>
          <w:ilvl w:val="0"/>
          <w:numId w:val="1005"/>
        </w:numPr>
      </w:pPr>
      <w:r>
        <w:t xml:space="preserve">Equipment-content growth as HBM stack heights increase.</w:t>
      </w:r>
    </w:p>
    <w:p>
      <w:pPr>
        <w:pStyle w:val="Compact"/>
        <w:numPr>
          <w:ilvl w:val="0"/>
          <w:numId w:val="1005"/>
        </w:numPr>
      </w:pPr>
      <w:r>
        <w:t xml:space="preserve">Any signs that exceptionally strong memory pricing is encouraging less disciplined capital spending.</w:t>
      </w:r>
    </w:p>
    <w:p>
      <w:pPr>
        <w:pStyle w:val="FirstParagraph"/>
      </w:pPr>
      <w:r>
        <w:t xml:space="preserve">The best outcome is continued HBM strength plus broader conventional DRAM investment, without evidence of customers over-ordering equipment.</w:t>
      </w:r>
    </w:p>
    <w:p>
      <w:r>
        <w:pict>
          <v:rect style="width:0;height:1.5pt" o:hralign="center" o:hrstd="t" o:hr="t"/>
        </w:pict>
      </w:r>
    </w:p>
    <w:bookmarkEnd w:id="20"/>
    <w:bookmarkStart w:id="21" w:name="X8349862c296420c732712e43d5efcaba2603519"/>
    <w:p>
      <w:pPr>
        <w:pStyle w:val="Heading3"/>
      </w:pPr>
      <w:r>
        <w:t xml:space="preserve">4. Foundry/logic and advanced packaging</w:t>
      </w:r>
    </w:p>
    <w:p>
      <w:pPr>
        <w:pStyle w:val="FirstParagraph"/>
      </w:pPr>
      <w:r>
        <w:t xml:space="preserve">Foundry represented</w:t>
      </w:r>
      <w:r>
        <w:t xml:space="preserve"> </w:t>
      </w:r>
      <w:r>
        <w:rPr>
          <w:b/>
          <w:bCs/>
        </w:rPr>
        <w:t xml:space="preserve">54% of systems revenue</w:t>
      </w:r>
      <w:r>
        <w:t xml:space="preserve"> </w:t>
      </w:r>
      <w:r>
        <w:t xml:space="preserve">in fiscal Q3 and remained Lam’s largest segment. Lam also expected its advanced-packaging revenue to grow more than 50% during calendar 2026.</w:t>
      </w:r>
    </w:p>
    <w:p>
      <w:pPr>
        <w:pStyle w:val="BodyText"/>
      </w:pPr>
      <w:r>
        <w:t xml:space="preserve">The key question is whether foundry/logic strength is broadening beyond one leading-edge customer. Management previously highlighted its first dielectric-etch wins at a major foundry/logic manufacturer, suggesting scope for both addressable-market expansion and share gains.</w:t>
      </w:r>
    </w:p>
    <w:p>
      <w:pPr>
        <w:pStyle w:val="BodyText"/>
      </w:pPr>
      <w:r>
        <w:t xml:space="preserve">Watch for commentary on:</w:t>
      </w:r>
    </w:p>
    <w:p>
      <w:pPr>
        <w:pStyle w:val="Compact"/>
        <w:numPr>
          <w:ilvl w:val="0"/>
          <w:numId w:val="1006"/>
        </w:numPr>
      </w:pPr>
      <w:r>
        <w:t xml:space="preserve">2-nanometer and gate-all-around ramps.</w:t>
      </w:r>
    </w:p>
    <w:p>
      <w:pPr>
        <w:pStyle w:val="Compact"/>
        <w:numPr>
          <w:ilvl w:val="0"/>
          <w:numId w:val="1006"/>
        </w:numPr>
      </w:pPr>
      <w:r>
        <w:t xml:space="preserve">New dielectric-etch wins converting to production revenue.</w:t>
      </w:r>
    </w:p>
    <w:p>
      <w:pPr>
        <w:pStyle w:val="Compact"/>
        <w:numPr>
          <w:ilvl w:val="0"/>
          <w:numId w:val="1006"/>
        </w:numPr>
      </w:pPr>
      <w:r>
        <w:t xml:space="preserve">Advanced packaging growth exceeding the prior 50%-plus expectation.</w:t>
      </w:r>
    </w:p>
    <w:p>
      <w:pPr>
        <w:pStyle w:val="Compact"/>
        <w:numPr>
          <w:ilvl w:val="0"/>
          <w:numId w:val="1006"/>
        </w:numPr>
      </w:pPr>
      <w:r>
        <w:t xml:space="preserve">Hybrid bonding, through-silicon-via etch and copper-plating demand.</w:t>
      </w:r>
    </w:p>
    <w:p>
      <w:pPr>
        <w:pStyle w:val="Compact"/>
        <w:numPr>
          <w:ilvl w:val="0"/>
          <w:numId w:val="1006"/>
        </w:numPr>
      </w:pPr>
      <w:r>
        <w:t xml:space="preserve">New fabs scheduled to begin taking equipment during 2027.</w:t>
      </w:r>
    </w:p>
    <w:p>
      <w:pPr>
        <w:pStyle w:val="FirstParagraph"/>
      </w:pPr>
      <w:r>
        <w:t xml:space="preserve">KLA’s latest results support the broader advanced-packaging thesis: it specifically cited strengthening AI-driven demand across leading-edge logic, memory and packaging. (</w:t>
      </w:r>
      <w:hyperlink r:id="rId10">
        <w:r>
          <w:rPr>
            <w:rStyle w:val="Hyperlink"/>
          </w:rPr>
          <w:t xml:space="preserve">ir.kla.com</w:t>
        </w:r>
      </w:hyperlink>
      <w:r>
        <w:t xml:space="preserve">)</w:t>
      </w:r>
    </w:p>
    <w:p>
      <w:r>
        <w:pict>
          <v:rect style="width:0;height:1.5pt" o:hralign="center" o:hrstd="t" o:hr="t"/>
        </w:pict>
      </w:r>
    </w:p>
    <w:bookmarkEnd w:id="21"/>
    <w:bookmarkStart w:id="22" w:name="Xc2434da32221aeedfa8fb63ef20a068bae780a9"/>
    <w:p>
      <w:pPr>
        <w:pStyle w:val="Heading3"/>
      </w:pPr>
      <w:r>
        <w:t xml:space="preserve">5. Customer Support Business Group: record base, but can it reaccelerate?</w:t>
      </w:r>
    </w:p>
    <w:p>
      <w:pPr>
        <w:pStyle w:val="FirstParagraph"/>
      </w:pPr>
      <w:r>
        <w:t xml:space="preserve">CSBG generated a record</w:t>
      </w:r>
      <w:r>
        <w:t xml:space="preserve"> </w:t>
      </w:r>
      <w:r>
        <w:rPr>
          <w:b/>
          <w:bCs/>
        </w:rPr>
        <w:t xml:space="preserve">$2.11 billion</w:t>
      </w:r>
      <w:r>
        <w:t xml:space="preserve"> </w:t>
      </w:r>
      <w:r>
        <w:t xml:space="preserve">last quarter—36% of total company revenue—benefiting from high fab utilization, spares, upgrades and services. (</w:t>
      </w:r>
      <w:hyperlink r:id="rId13">
        <w:r>
          <w:rPr>
            <w:rStyle w:val="Hyperlink"/>
          </w:rPr>
          <w:t xml:space="preserve">investor.lamresearch.com</w:t>
        </w:r>
      </w:hyperlink>
      <w:r>
        <w:t xml:space="preserve">)</w:t>
      </w:r>
    </w:p>
    <w:p>
      <w:pPr>
        <w:pStyle w:val="BodyText"/>
      </w:pPr>
      <w:r>
        <w:t xml:space="preserve">Management had suggested quarterly CSBG revenue could remain around that level, perhaps increasing modestly, because:</w:t>
      </w:r>
    </w:p>
    <w:p>
      <w:pPr>
        <w:pStyle w:val="Compact"/>
        <w:numPr>
          <w:ilvl w:val="0"/>
          <w:numId w:val="1007"/>
        </w:numPr>
      </w:pPr>
      <w:r>
        <w:t xml:space="preserve">Industry utilization was already extremely high.</w:t>
      </w:r>
    </w:p>
    <w:p>
      <w:pPr>
        <w:pStyle w:val="Compact"/>
        <w:numPr>
          <w:ilvl w:val="0"/>
          <w:numId w:val="1007"/>
        </w:numPr>
      </w:pPr>
      <w:r>
        <w:t xml:space="preserve">Spares and service had limited room to accelerate further.</w:t>
      </w:r>
    </w:p>
    <w:p>
      <w:pPr>
        <w:pStyle w:val="Compact"/>
        <w:numPr>
          <w:ilvl w:val="0"/>
          <w:numId w:val="1007"/>
        </w:numPr>
      </w:pPr>
      <w:r>
        <w:t xml:space="preserve">Reliant, Lam’s mature-node equipment business, was relatively soft.</w:t>
      </w:r>
    </w:p>
    <w:p>
      <w:pPr>
        <w:pStyle w:val="Compact"/>
        <w:numPr>
          <w:ilvl w:val="0"/>
          <w:numId w:val="1007"/>
        </w:numPr>
      </w:pPr>
      <w:r>
        <w:t xml:space="preserve">Upgrade demand associated with NAND conversions remained healthy.</w:t>
      </w:r>
    </w:p>
    <w:p>
      <w:pPr>
        <w:pStyle w:val="FirstParagraph"/>
      </w:pPr>
      <w:r>
        <w:t xml:space="preserve">Important indicators include:</w:t>
      </w:r>
    </w:p>
    <w:p>
      <w:pPr>
        <w:pStyle w:val="Compact"/>
        <w:numPr>
          <w:ilvl w:val="0"/>
          <w:numId w:val="1008"/>
        </w:numPr>
      </w:pPr>
      <w:r>
        <w:t xml:space="preserve">Sequential CSBG growth versus the prior $2.11 billion.</w:t>
      </w:r>
    </w:p>
    <w:p>
      <w:pPr>
        <w:pStyle w:val="Compact"/>
        <w:numPr>
          <w:ilvl w:val="0"/>
          <w:numId w:val="1008"/>
        </w:numPr>
      </w:pPr>
      <w:r>
        <w:t xml:space="preserve">The contribution from NAND upgrades.</w:t>
      </w:r>
    </w:p>
    <w:p>
      <w:pPr>
        <w:pStyle w:val="Compact"/>
        <w:numPr>
          <w:ilvl w:val="0"/>
          <w:numId w:val="1008"/>
        </w:numPr>
      </w:pPr>
      <w:r>
        <w:t xml:space="preserve">Adoption of Equipment Intelligence services and Dextro maintenance cobots.</w:t>
      </w:r>
    </w:p>
    <w:p>
      <w:pPr>
        <w:pStyle w:val="Compact"/>
        <w:numPr>
          <w:ilvl w:val="0"/>
          <w:numId w:val="1008"/>
        </w:numPr>
      </w:pPr>
      <w:r>
        <w:t xml:space="preserve">Whether Reliant stabilizes.</w:t>
      </w:r>
    </w:p>
    <w:p>
      <w:pPr>
        <w:pStyle w:val="Compact"/>
        <w:numPr>
          <w:ilvl w:val="0"/>
          <w:numId w:val="1008"/>
        </w:numPr>
      </w:pPr>
      <w:r>
        <w:t xml:space="preserve">Growth in service contracts attached to the rapidly expanding installed base.</w:t>
      </w:r>
    </w:p>
    <w:p>
      <w:pPr>
        <w:pStyle w:val="FirstParagraph"/>
      </w:pPr>
      <w:r>
        <w:t xml:space="preserve">A flat CSBG result would not necessarily be negative if systems growth remains strong. More important is whether management sees a path to another leg of growth as newly installed equipment moves into production.</w:t>
      </w:r>
    </w:p>
    <w:p>
      <w:r>
        <w:pict>
          <v:rect style="width:0;height:1.5pt" o:hralign="center" o:hrstd="t" o:hr="t"/>
        </w:pict>
      </w:r>
    </w:p>
    <w:bookmarkEnd w:id="22"/>
    <w:bookmarkStart w:id="23" w:name="Xa3f5b88ee897ae9255cdf80f259901c591ac044"/>
    <w:p>
      <w:pPr>
        <w:pStyle w:val="Heading3"/>
      </w:pPr>
      <w:r>
        <w:t xml:space="preserve">6. Margin durability</w:t>
      </w:r>
    </w:p>
    <w:p>
      <w:pPr>
        <w:pStyle w:val="FirstParagraph"/>
      </w:pPr>
      <w:r>
        <w:t xml:space="preserve">Lam’s fiscal Q4 guidance called for:</w:t>
      </w:r>
    </w:p>
    <w:p>
      <w:pPr>
        <w:pStyle w:val="Compact"/>
        <w:numPr>
          <w:ilvl w:val="0"/>
          <w:numId w:val="1009"/>
        </w:numPr>
      </w:pPr>
      <w:r>
        <w:rPr>
          <w:b/>
          <w:bCs/>
        </w:rPr>
        <w:t xml:space="preserve">50.5% gross margin</w:t>
      </w:r>
    </w:p>
    <w:p>
      <w:pPr>
        <w:pStyle w:val="Compact"/>
        <w:numPr>
          <w:ilvl w:val="0"/>
          <w:numId w:val="1009"/>
        </w:numPr>
      </w:pPr>
      <w:r>
        <w:rPr>
          <w:b/>
          <w:bCs/>
        </w:rPr>
        <w:t xml:space="preserve">36.5% operating margin</w:t>
      </w:r>
    </w:p>
    <w:p>
      <w:pPr>
        <w:pStyle w:val="Compact"/>
        <w:numPr>
          <w:ilvl w:val="0"/>
          <w:numId w:val="1009"/>
        </w:numPr>
      </w:pPr>
      <w:r>
        <w:t xml:space="preserve">Both plus or minus one percentage point</w:t>
      </w:r>
    </w:p>
    <w:p>
      <w:pPr>
        <w:pStyle w:val="FirstParagraph"/>
      </w:pPr>
      <w:r>
        <w:t xml:space="preserve">These would represent strong operating leverage and place Lam above its prior long-term operating-margin framework.</w:t>
      </w:r>
    </w:p>
    <w:p>
      <w:pPr>
        <w:pStyle w:val="BodyText"/>
      </w:pPr>
      <w:r>
        <w:t xml:space="preserve">Management attributed recent margin gains to structural factors: manufacturing closer to customers, freight and supply-chain efficiencies, product reliability, pricing for delivered value and improved factory utilization. The company also said gross margin could remain near fiscal Q4 levels through the balance of calendar 2026.</w:t>
      </w:r>
    </w:p>
    <w:p>
      <w:pPr>
        <w:pStyle w:val="BodyText"/>
      </w:pPr>
      <w:r>
        <w:t xml:space="preserve">Investors should distinguish between:</w:t>
      </w:r>
    </w:p>
    <w:p>
      <w:pPr>
        <w:pStyle w:val="Compact"/>
        <w:numPr>
          <w:ilvl w:val="0"/>
          <w:numId w:val="1010"/>
        </w:numPr>
      </w:pPr>
      <w:r>
        <w:rPr>
          <w:b/>
          <w:bCs/>
        </w:rPr>
        <w:t xml:space="preserve">Structural improvement:</w:t>
      </w:r>
      <w:r>
        <w:t xml:space="preserve"> </w:t>
      </w:r>
      <w:r>
        <w:t xml:space="preserve">factory footprint, tool maturity, service mix and value-based pricing.</w:t>
      </w:r>
    </w:p>
    <w:p>
      <w:pPr>
        <w:pStyle w:val="Compact"/>
        <w:numPr>
          <w:ilvl w:val="0"/>
          <w:numId w:val="1010"/>
        </w:numPr>
      </w:pPr>
      <w:r>
        <w:rPr>
          <w:b/>
          <w:bCs/>
        </w:rPr>
        <w:t xml:space="preserve">Cycle benefits:</w:t>
      </w:r>
      <w:r>
        <w:t xml:space="preserve"> </w:t>
      </w:r>
      <w:r>
        <w:t xml:space="preserve">high utilization, favorable customer mix and unusually tight equipment supply.</w:t>
      </w:r>
    </w:p>
    <w:p>
      <w:pPr>
        <w:pStyle w:val="FirstParagraph"/>
      </w:pPr>
      <w:r>
        <w:t xml:space="preserve">Watch for tariff and component-cost pressure, particularly if those costs affect already-booked equipment that cannot be repriced. A guide near 50.5% would support the durability thesis; a retreat below 50% would raise questions about how much of the recent expansion was mix-driven.</w:t>
      </w:r>
    </w:p>
    <w:p>
      <w:r>
        <w:pict>
          <v:rect style="width:0;height:1.5pt" o:hralign="center" o:hrstd="t" o:hr="t"/>
        </w:pict>
      </w:r>
    </w:p>
    <w:bookmarkEnd w:id="23"/>
    <w:bookmarkStart w:id="24" w:name="X20791cb1f31fb56ee40df4266fa238eb7b947bd"/>
    <w:p>
      <w:pPr>
        <w:pStyle w:val="Heading3"/>
      </w:pPr>
      <w:r>
        <w:t xml:space="preserve">7. China, export controls and supply constraints</w:t>
      </w:r>
    </w:p>
    <w:p>
      <w:pPr>
        <w:pStyle w:val="FirstParagraph"/>
      </w:pPr>
      <w:r>
        <w:t xml:space="preserve">China produced</w:t>
      </w:r>
      <w:r>
        <w:t xml:space="preserve"> </w:t>
      </w:r>
      <w:r>
        <w:rPr>
          <w:b/>
          <w:bCs/>
        </w:rPr>
        <w:t xml:space="preserve">34% of fiscal Q3 revenue</w:t>
      </w:r>
      <w:r>
        <w:t xml:space="preserve">, although Lam expected the percentage to decline as multinational customers grew faster elsewhere. China nevertheless remains large enough that export-control changes or customer mix can materially affect quarterly results. (</w:t>
      </w:r>
      <w:hyperlink r:id="rId13">
        <w:r>
          <w:rPr>
            <w:rStyle w:val="Hyperlink"/>
          </w:rPr>
          <w:t xml:space="preserve">investor.lamresearch.com</w:t>
        </w:r>
      </w:hyperlink>
      <w:r>
        <w:t xml:space="preserve">)</w:t>
      </w:r>
    </w:p>
    <w:p>
      <w:pPr>
        <w:pStyle w:val="BodyText"/>
      </w:pPr>
      <w:r>
        <w:t xml:space="preserve">Investors should look for:</w:t>
      </w:r>
    </w:p>
    <w:p>
      <w:pPr>
        <w:pStyle w:val="Compact"/>
        <w:numPr>
          <w:ilvl w:val="0"/>
          <w:numId w:val="1011"/>
        </w:numPr>
      </w:pPr>
      <w:r>
        <w:t xml:space="preserve">China revenue as a percentage of the June and September quarters.</w:t>
      </w:r>
    </w:p>
    <w:p>
      <w:pPr>
        <w:pStyle w:val="Compact"/>
        <w:numPr>
          <w:ilvl w:val="0"/>
          <w:numId w:val="1011"/>
        </w:numPr>
      </w:pPr>
      <w:r>
        <w:t xml:space="preserve">Domestic Chinese customer demand versus multinational fabs in China.</w:t>
      </w:r>
    </w:p>
    <w:p>
      <w:pPr>
        <w:pStyle w:val="Compact"/>
        <w:numPr>
          <w:ilvl w:val="0"/>
          <w:numId w:val="1011"/>
        </w:numPr>
      </w:pPr>
      <w:r>
        <w:t xml:space="preserve">Incremental restrictions on servicing the installed base.</w:t>
      </w:r>
    </w:p>
    <w:p>
      <w:pPr>
        <w:pStyle w:val="Compact"/>
        <w:numPr>
          <w:ilvl w:val="0"/>
          <w:numId w:val="1011"/>
        </w:numPr>
      </w:pPr>
      <w:r>
        <w:t xml:space="preserve">Competition from local Chinese etch and deposition suppliers.</w:t>
      </w:r>
    </w:p>
    <w:p>
      <w:pPr>
        <w:pStyle w:val="Compact"/>
        <w:numPr>
          <w:ilvl w:val="0"/>
          <w:numId w:val="1011"/>
        </w:numPr>
      </w:pPr>
      <w:r>
        <w:t xml:space="preserve">Tariff and rare-earth-material effects on costs or production schedules.</w:t>
      </w:r>
    </w:p>
    <w:p>
      <w:pPr>
        <w:pStyle w:val="FirstParagraph"/>
      </w:pPr>
      <w:r>
        <w:t xml:space="preserve">Capacity is another key issue. Lam is adding a second major Malaysia manufacturing facility, with production expected to ramp in the second half of 2026. The critical question is whether Lam and its suppliers can support the more bullish 2027 WFE scenarios without extending lead times or sacrificing margins.</w:t>
      </w:r>
    </w:p>
    <w:p>
      <w:r>
        <w:pict>
          <v:rect style="width:0;height:1.5pt" o:hralign="center" o:hrstd="t" o:hr="t"/>
        </w:pict>
      </w:r>
    </w:p>
    <w:bookmarkEnd w:id="24"/>
    <w:bookmarkEnd w:id="25"/>
    <w:bookmarkStart w:id="27" w:name="stock-setup"/>
    <w:p>
      <w:pPr>
        <w:pStyle w:val="Heading2"/>
      </w:pPr>
      <w:r>
        <w:t xml:space="preserve">Stock setup</w:t>
      </w:r>
    </w:p>
    <w:p>
      <w:pPr>
        <w:pStyle w:val="FirstParagraph"/>
      </w:pPr>
      <w:r>
        <w:t xml:space="preserve">LRCX was recently around</w:t>
      </w:r>
      <w:r>
        <w:t xml:space="preserve"> </w:t>
      </w:r>
      <w:r>
        <w:rPr>
          <w:b/>
          <w:bCs/>
        </w:rPr>
        <w:t xml:space="preserve">$270</w:t>
      </w:r>
      <w:r>
        <w:t xml:space="preserve">, approximately 46% above its January 2 level but roughly 38% below its June 30 high following a sharp semiconductor selloff. The shares still carry a premium valuation: approximately</w:t>
      </w:r>
      <w:r>
        <w:t xml:space="preserve"> </w:t>
      </w:r>
      <w:r>
        <w:rPr>
          <w:b/>
          <w:bCs/>
        </w:rPr>
        <w:t xml:space="preserve">51 times trailing earnings and 35 times forward earnings</w:t>
      </w:r>
      <w:r>
        <w:t xml:space="preserve">. (</w:t>
      </w:r>
      <w:hyperlink r:id="rId26">
        <w:r>
          <w:rPr>
            <w:rStyle w:val="Hyperlink"/>
          </w:rPr>
          <w:t xml:space="preserve">stockanalysis.com</w:t>
        </w:r>
      </w:hyperlink>
      <w:r>
        <w:t xml:space="preserve">)</w:t>
      </w:r>
    </w:p>
    <w:p>
      <w:pPr>
        <w:pStyle w:val="BodyText"/>
      </w:pPr>
      <w:r>
        <w:t xml:space="preserve">That creates a mixed setup:</w:t>
      </w:r>
    </w:p>
    <w:p>
      <w:pPr>
        <w:pStyle w:val="Compact"/>
        <w:numPr>
          <w:ilvl w:val="0"/>
          <w:numId w:val="1012"/>
        </w:numPr>
      </w:pPr>
      <w:r>
        <w:t xml:space="preserve">The pullback reduces the amount of near-term perfection embedded in the stock.</w:t>
      </w:r>
    </w:p>
    <w:p>
      <w:pPr>
        <w:pStyle w:val="Compact"/>
        <w:numPr>
          <w:ilvl w:val="0"/>
          <w:numId w:val="1012"/>
        </w:numPr>
      </w:pPr>
      <w:r>
        <w:t xml:space="preserve">The valuation still assumes significant earnings growth and sustained WFE strength.</w:t>
      </w:r>
    </w:p>
    <w:p>
      <w:pPr>
        <w:pStyle w:val="Compact"/>
        <w:numPr>
          <w:ilvl w:val="0"/>
          <w:numId w:val="1012"/>
        </w:numPr>
      </w:pPr>
      <w:r>
        <w:t xml:space="preserve">A routine beat may not be enough if September guidance or the 2027 narrative disappoints.</w:t>
      </w:r>
    </w:p>
    <w:p>
      <w:pPr>
        <w:pStyle w:val="Compact"/>
        <w:numPr>
          <w:ilvl w:val="0"/>
          <w:numId w:val="1012"/>
        </w:numPr>
      </w:pPr>
      <w:r>
        <w:t xml:space="preserve">Conversely, an upgraded WFE outlook and strong forward guidance could trigger a meaningful rebound after the recent drawdown.</w:t>
      </w:r>
    </w:p>
    <w:p>
      <w:r>
        <w:pict>
          <v:rect style="width:0;height:1.5pt" o:hralign="center" o:hrstd="t" o:hr="t"/>
        </w:pict>
      </w:r>
    </w:p>
    <w:bookmarkEnd w:id="27"/>
    <w:bookmarkStart w:id="31" w:name="potential-reaction-framework"/>
    <w:p>
      <w:pPr>
        <w:pStyle w:val="Heading2"/>
      </w:pPr>
      <w:r>
        <w:t xml:space="preserve">Potential reaction framework</w:t>
      </w:r>
    </w:p>
    <w:bookmarkStart w:id="28" w:name="bull-case"/>
    <w:p>
      <w:pPr>
        <w:pStyle w:val="Heading3"/>
      </w:pPr>
      <w:r>
        <w:t xml:space="preserve">Bull case</w:t>
      </w:r>
    </w:p>
    <w:p>
      <w:pPr>
        <w:pStyle w:val="Compact"/>
        <w:numPr>
          <w:ilvl w:val="0"/>
          <w:numId w:val="1013"/>
        </w:numPr>
      </w:pPr>
      <w:r>
        <w:t xml:space="preserve">Revenue above approximately</w:t>
      </w:r>
      <w:r>
        <w:t xml:space="preserve"> </w:t>
      </w:r>
      <m:oMath>
        <m:r>
          <m:t>6.8</m:t>
        </m:r>
        <m:r>
          <m:t>b</m:t>
        </m:r>
        <m:r>
          <m:t>i</m:t>
        </m:r>
        <m:r>
          <m:t>l</m:t>
        </m:r>
        <m:r>
          <m:t>l</m:t>
        </m:r>
        <m:r>
          <m:t>i</m:t>
        </m:r>
        <m:r>
          <m:t>o</m:t>
        </m:r>
        <m:r>
          <m:t>n</m:t>
        </m:r>
        <m:r>
          <m:rPr>
            <m:sty m:val="p"/>
          </m:rPr>
          <m:t>*</m:t>
        </m:r>
        <m:r>
          <m:rPr>
            <m:sty m:val="p"/>
          </m:rPr>
          <m:t>*</m:t>
        </m:r>
        <m:r>
          <m:t>a</m:t>
        </m:r>
        <m:r>
          <m:t>n</m:t>
        </m:r>
        <m:r>
          <m:t>d</m:t>
        </m:r>
        <m:r>
          <m:t>E</m:t>
        </m:r>
        <m:r>
          <m:t>P</m:t>
        </m:r>
        <m:r>
          <m:t>S</m:t>
        </m:r>
        <m:r>
          <m:t>a</m:t>
        </m:r>
        <m:r>
          <m:t>b</m:t>
        </m:r>
        <m:r>
          <m:t>o</m:t>
        </m:r>
        <m:r>
          <m:t>v</m:t>
        </m:r>
        <m:r>
          <m:t>e</m:t>
        </m:r>
        <m:r>
          <m:rPr>
            <m:sty m:val="p"/>
          </m:rPr>
          <m:t>*</m:t>
        </m:r>
        <m:r>
          <m:rPr>
            <m:sty m:val="p"/>
          </m:rPr>
          <m:t>*</m:t>
        </m:r>
      </m:oMath>
      <w:r>
        <w:rPr>
          <w:b/>
          <w:bCs/>
        </w:rPr>
        <w:t xml:space="preserve">1.75</w:t>
      </w:r>
      <w:r>
        <w:t xml:space="preserve">.</w:t>
      </w:r>
    </w:p>
    <w:p>
      <w:pPr>
        <w:pStyle w:val="Compact"/>
        <w:numPr>
          <w:ilvl w:val="0"/>
          <w:numId w:val="1013"/>
        </w:numPr>
      </w:pPr>
      <w:r>
        <w:t xml:space="preserve">September EPS guidance at or above roughly</w:t>
      </w:r>
      <w:r>
        <w:t xml:space="preserve"> </w:t>
      </w:r>
      <w:r>
        <w:rPr>
          <w:b/>
          <w:bCs/>
        </w:rPr>
        <w:t xml:space="preserve">$1.85</w:t>
      </w:r>
      <w:r>
        <w:t xml:space="preserve">.</w:t>
      </w:r>
    </w:p>
    <w:p>
      <w:pPr>
        <w:pStyle w:val="Compact"/>
        <w:numPr>
          <w:ilvl w:val="0"/>
          <w:numId w:val="1013"/>
        </w:numPr>
      </w:pPr>
      <w:r>
        <w:t xml:space="preserve">2026 WFE raised to at least the low-$150 billion range.</w:t>
      </w:r>
    </w:p>
    <w:p>
      <w:pPr>
        <w:pStyle w:val="Compact"/>
        <w:numPr>
          <w:ilvl w:val="0"/>
          <w:numId w:val="1013"/>
        </w:numPr>
      </w:pPr>
      <w:r>
        <w:t xml:space="preserve">Strong 2027 commentary, with broad growth across logic, DRAM, NAND and packaging.</w:t>
      </w:r>
    </w:p>
    <w:p>
      <w:pPr>
        <w:pStyle w:val="Compact"/>
        <w:numPr>
          <w:ilvl w:val="0"/>
          <w:numId w:val="1013"/>
        </w:numPr>
      </w:pPr>
      <w:r>
        <w:t xml:space="preserve">Gross-margin guidance remains around 50.5% or better.</w:t>
      </w:r>
    </w:p>
    <w:p>
      <w:pPr>
        <w:pStyle w:val="Compact"/>
        <w:numPr>
          <w:ilvl w:val="0"/>
          <w:numId w:val="1013"/>
        </w:numPr>
      </w:pPr>
      <w:r>
        <w:t xml:space="preserve">NAND and advanced-packaging outlooks are raised.</w:t>
      </w:r>
    </w:p>
    <w:bookmarkEnd w:id="28"/>
    <w:bookmarkStart w:id="29" w:name="base-case"/>
    <w:p>
      <w:pPr>
        <w:pStyle w:val="Heading3"/>
      </w:pPr>
      <w:r>
        <w:t xml:space="preserve">Base case</w:t>
      </w:r>
    </w:p>
    <w:p>
      <w:pPr>
        <w:pStyle w:val="Compact"/>
        <w:numPr>
          <w:ilvl w:val="0"/>
          <w:numId w:val="1014"/>
        </w:numPr>
      </w:pPr>
      <w:r>
        <w:t xml:space="preserve">Modest beat versus $6.67 billion and $1.69.</w:t>
      </w:r>
    </w:p>
    <w:p>
      <w:pPr>
        <w:pStyle w:val="Compact"/>
        <w:numPr>
          <w:ilvl w:val="0"/>
          <w:numId w:val="1014"/>
        </w:numPr>
      </w:pPr>
      <w:r>
        <w:t xml:space="preserve">September guidance approximately in line with consensus.</w:t>
      </w:r>
    </w:p>
    <w:p>
      <w:pPr>
        <w:pStyle w:val="Compact"/>
        <w:numPr>
          <w:ilvl w:val="0"/>
          <w:numId w:val="1014"/>
        </w:numPr>
      </w:pPr>
      <w:r>
        <w:t xml:space="preserve">WFE raised toward $150 billion.</w:t>
      </w:r>
    </w:p>
    <w:p>
      <w:pPr>
        <w:pStyle w:val="Compact"/>
        <w:numPr>
          <w:ilvl w:val="0"/>
          <w:numId w:val="1014"/>
        </w:numPr>
      </w:pPr>
      <w:r>
        <w:t xml:space="preserve">Gross margin remains near 50%.</w:t>
      </w:r>
    </w:p>
    <w:p>
      <w:pPr>
        <w:pStyle w:val="Compact"/>
        <w:numPr>
          <w:ilvl w:val="0"/>
          <w:numId w:val="1014"/>
        </w:numPr>
      </w:pPr>
      <w:r>
        <w:t xml:space="preserve">Management reiterates strong 2027 growth without quantifying it.</w:t>
      </w:r>
    </w:p>
    <w:p>
      <w:pPr>
        <w:pStyle w:val="FirstParagraph"/>
      </w:pPr>
      <w:r>
        <w:t xml:space="preserve">This would validate the earnings trajectory, although the stock reaction could depend heavily on positioning and management’s tone.</w:t>
      </w:r>
    </w:p>
    <w:bookmarkEnd w:id="29"/>
    <w:bookmarkStart w:id="30" w:name="bear-case"/>
    <w:p>
      <w:pPr>
        <w:pStyle w:val="Heading3"/>
      </w:pPr>
      <w:r>
        <w:t xml:space="preserve">Bear case</w:t>
      </w:r>
    </w:p>
    <w:p>
      <w:pPr>
        <w:pStyle w:val="Compact"/>
        <w:numPr>
          <w:ilvl w:val="0"/>
          <w:numId w:val="1015"/>
        </w:numPr>
      </w:pPr>
      <w:r>
        <w:t xml:space="preserve">June-quarter revenue or EPS only meets the prior midpoint.</w:t>
      </w:r>
    </w:p>
    <w:p>
      <w:pPr>
        <w:pStyle w:val="Compact"/>
        <w:numPr>
          <w:ilvl w:val="0"/>
          <w:numId w:val="1015"/>
        </w:numPr>
      </w:pPr>
      <w:r>
        <w:t xml:space="preserve">September guidance falls below the Street’s $1.83 EPS expectation.</w:t>
      </w:r>
    </w:p>
    <w:p>
      <w:pPr>
        <w:pStyle w:val="Compact"/>
        <w:numPr>
          <w:ilvl w:val="0"/>
          <w:numId w:val="1015"/>
        </w:numPr>
      </w:pPr>
      <w:r>
        <w:t xml:space="preserve">WFE outlook remains materially below newer industry estimates.</w:t>
      </w:r>
    </w:p>
    <w:p>
      <w:pPr>
        <w:pStyle w:val="Compact"/>
        <w:numPr>
          <w:ilvl w:val="0"/>
          <w:numId w:val="1015"/>
        </w:numPr>
      </w:pPr>
      <w:r>
        <w:t xml:space="preserve">NAND strength proves mostly conversion-driven rather than greenfield.</w:t>
      </w:r>
    </w:p>
    <w:p>
      <w:pPr>
        <w:pStyle w:val="Compact"/>
        <w:numPr>
          <w:ilvl w:val="0"/>
          <w:numId w:val="1015"/>
        </w:numPr>
      </w:pPr>
      <w:r>
        <w:t xml:space="preserve">Gross margin falls below 50% because of mix, tariffs or supply-chain costs.</w:t>
      </w:r>
    </w:p>
    <w:p>
      <w:pPr>
        <w:pStyle w:val="Compact"/>
        <w:numPr>
          <w:ilvl w:val="0"/>
          <w:numId w:val="1015"/>
        </w:numPr>
      </w:pPr>
      <w:r>
        <w:t xml:space="preserve">Management flags weaker China revenue or difficulty securing components.</w:t>
      </w:r>
    </w:p>
    <w:p>
      <w:r>
        <w:pict>
          <v:rect style="width:0;height:1.5pt" o:hralign="center" o:hrstd="t" o:hr="t"/>
        </w:pict>
      </w:r>
    </w:p>
    <w:bookmarkEnd w:id="30"/>
    <w:bookmarkEnd w:id="31"/>
    <w:bookmarkStart w:id="32" w:name="bottom-line"/>
    <w:p>
      <w:pPr>
        <w:pStyle w:val="Heading2"/>
      </w:pPr>
      <w:r>
        <w:t xml:space="preserve">Bottom line</w:t>
      </w:r>
    </w:p>
    <w:p>
      <w:pPr>
        <w:pStyle w:val="FirstParagraph"/>
      </w:pPr>
      <w:r>
        <w:t xml:space="preserve">Lam appears positioned for another record quarter, but</w:t>
      </w:r>
      <w:r>
        <w:t xml:space="preserve"> </w:t>
      </w:r>
      <w:r>
        <w:rPr>
          <w:b/>
          <w:bCs/>
        </w:rPr>
        <w:t xml:space="preserve">the fiscal Q4 beat is not the central debate</w:t>
      </w:r>
      <w:r>
        <w:t xml:space="preserve">. The report needs to demonstrate that Lam can convert an expanding, AI-driven WFE cycle into continued sequential growth while sustaining approximately 50% gross margins.</w:t>
      </w:r>
    </w:p>
    <w:p>
      <w:pPr>
        <w:pStyle w:val="BodyText"/>
      </w:pPr>
      <w:r>
        <w:t xml:space="preserve">The highest-signal disclosures will be:</w:t>
      </w:r>
    </w:p>
    <w:p>
      <w:pPr>
        <w:pStyle w:val="Compact"/>
        <w:numPr>
          <w:ilvl w:val="0"/>
          <w:numId w:val="1016"/>
        </w:numPr>
      </w:pPr>
      <w:r>
        <w:rPr>
          <w:b/>
          <w:bCs/>
        </w:rPr>
        <w:t xml:space="preserve">September-quarter revenue and EPS guidance</w:t>
      </w:r>
    </w:p>
    <w:p>
      <w:pPr>
        <w:pStyle w:val="Compact"/>
        <w:numPr>
          <w:ilvl w:val="0"/>
          <w:numId w:val="1016"/>
        </w:numPr>
      </w:pPr>
      <w:r>
        <w:rPr>
          <w:b/>
          <w:bCs/>
        </w:rPr>
        <w:t xml:space="preserve">The updated 2026 WFE estimate</w:t>
      </w:r>
    </w:p>
    <w:p>
      <w:pPr>
        <w:pStyle w:val="Compact"/>
        <w:numPr>
          <w:ilvl w:val="0"/>
          <w:numId w:val="1016"/>
        </w:numPr>
      </w:pPr>
      <w:r>
        <w:rPr>
          <w:b/>
          <w:bCs/>
        </w:rPr>
        <w:t xml:space="preserve">Management’s preliminary 2027 framework</w:t>
      </w:r>
    </w:p>
    <w:p>
      <w:pPr>
        <w:pStyle w:val="Compact"/>
        <w:numPr>
          <w:ilvl w:val="0"/>
          <w:numId w:val="1016"/>
        </w:numPr>
      </w:pPr>
      <w:r>
        <w:rPr>
          <w:b/>
          <w:bCs/>
        </w:rPr>
        <w:t xml:space="preserve">NAND conversion and greenfield spending</w:t>
      </w:r>
    </w:p>
    <w:p>
      <w:pPr>
        <w:pStyle w:val="Compact"/>
        <w:numPr>
          <w:ilvl w:val="0"/>
          <w:numId w:val="1016"/>
        </w:numPr>
      </w:pPr>
      <w:r>
        <w:rPr>
          <w:b/>
          <w:bCs/>
        </w:rPr>
        <w:t xml:space="preserve">Margin durability at higher production volumes</w:t>
      </w:r>
    </w:p>
    <w:p>
      <w:pPr>
        <w:pStyle w:val="FirstParagraph"/>
      </w:pPr>
      <w:r>
        <w:t xml:space="preserve">A solid quarter plus a convincing low-$150-billion WFE outlook and constructive 2027 commentary would support the view that Lam is entering a multiyear period of above-market growth. A simple headline beat without stronger forward guidance would be less compelling.</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7" Target="https://ca.investing.com/news/stock-market-news/mizuho-raises-applied-materials-stock-price-target-to-540-on-wfe-outlook-93CH-4662391?utm_source=openai" TargetMode="External" /><Relationship Type="http://schemas.openxmlformats.org/officeDocument/2006/relationships/hyperlink" Id="rId13" Target="https://investor.lamresearch.com/2026-04-22-Lam-Research-Corporation-Reports-Financial-Results-for-the-Quarter-Ended-March-29%2C-2026?asPDF=" TargetMode="External" /><Relationship Type="http://schemas.openxmlformats.org/officeDocument/2006/relationships/hyperlink" Id="rId10" Target="https://ir.kla.com/news-events/press-releases/detail/518/kla-corporation-reports-fiscal-2026-fourth-quarter-and-full" TargetMode="External" /><Relationship Type="http://schemas.openxmlformats.org/officeDocument/2006/relationships/hyperlink" Id="rId9" Target="https://newsroom.lamresearch.com/2026-07-08-Lam-Research-Corporation-Announces-June-Quarter-Financial-Conference-Call" TargetMode="External" /><Relationship Type="http://schemas.openxmlformats.org/officeDocument/2006/relationships/hyperlink" Id="rId26" Target="https://stockanalysis.com/stocks/lrcx/statistics/" TargetMode="External" /><Relationship Type="http://schemas.openxmlformats.org/officeDocument/2006/relationships/hyperlink" Id="rId14" Target="https://www.barchart.com/stocks/quotes/LRCX/earnings-estimates" TargetMode="External" /><Relationship Type="http://schemas.openxmlformats.org/officeDocument/2006/relationships/hyperlink" Id="rId12" Target="https://www.zacks.com/stock/news/2952735/lam-research-lrcx-suffers-a-larger-drop-than-the-general-market-key-insights?utm_source=openai" TargetMode="External" /></Relationships>
</file>

<file path=word/_rels/footnotes.xml.rels><?xml version="1.0" encoding="UTF-8"?><Relationships xmlns="http://schemas.openxmlformats.org/package/2006/relationships"><Relationship Type="http://schemas.openxmlformats.org/officeDocument/2006/relationships/hyperlink" Id="rId17" Target="https://ca.investing.com/news/stock-market-news/mizuho-raises-applied-materials-stock-price-target-to-540-on-wfe-outlook-93CH-4662391?utm_source=openai" TargetMode="External" /><Relationship Type="http://schemas.openxmlformats.org/officeDocument/2006/relationships/hyperlink" Id="rId13" Target="https://investor.lamresearch.com/2026-04-22-Lam-Research-Corporation-Reports-Financial-Results-for-the-Quarter-Ended-March-29%2C-2026?asPDF=" TargetMode="External" /><Relationship Type="http://schemas.openxmlformats.org/officeDocument/2006/relationships/hyperlink" Id="rId10" Target="https://ir.kla.com/news-events/press-releases/detail/518/kla-corporation-reports-fiscal-2026-fourth-quarter-and-full" TargetMode="External" /><Relationship Type="http://schemas.openxmlformats.org/officeDocument/2006/relationships/hyperlink" Id="rId9" Target="https://newsroom.lamresearch.com/2026-07-08-Lam-Research-Corporation-Announces-June-Quarter-Financial-Conference-Call" TargetMode="External" /><Relationship Type="http://schemas.openxmlformats.org/officeDocument/2006/relationships/hyperlink" Id="rId26" Target="https://stockanalysis.com/stocks/lrcx/statistics/" TargetMode="External" /><Relationship Type="http://schemas.openxmlformats.org/officeDocument/2006/relationships/hyperlink" Id="rId14" Target="https://www.barchart.com/stocks/quotes/LRCX/earnings-estimates" TargetMode="External" /><Relationship Type="http://schemas.openxmlformats.org/officeDocument/2006/relationships/hyperlink" Id="rId12" Target="https://www.zacks.com/stock/news/2952735/lam-research-lrcx-suffers-a-larger-drop-than-the-general-market-key-insigh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2026-07-29T01:41:22Z</dcterms:created>
  <dcterms:modified xsi:type="dcterms:W3CDTF">2026-07-29T01:41:22Z</dcterms:modified>
</cp:coreProperties>
</file>

<file path=docProps/custom.xml><?xml version="1.0" encoding="utf-8"?>
<Properties xmlns="http://schemas.openxmlformats.org/officeDocument/2006/custom-properties" xmlns:vt="http://schemas.openxmlformats.org/officeDocument/2006/docPropsVTypes"/>
</file>