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rcx-earnings-predictions--2026-07-29"/>
    <w:p>
      <w:pPr>
        <w:pStyle w:val="Heading1"/>
      </w:pPr>
      <w:r>
        <w:t xml:space="preserve">LRCX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~$6.83B vs. cons $6.69B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~$1.75 vs. cons $1.69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~50.8% vs. cons 50.5%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September-quarter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~$7.00B vs. cons $6.83B (September 2026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September-quarter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~50.6% vs. cons 50.3% (September 2026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September-quarter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~$1.79 vs. cons $1.73 (September 2026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Calendar-2026 WFE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~$145B vs. cons $142B (calendar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Calendar-2027 WFE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~10% growth vs. cons 8% growth (calendar 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+10.0%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7.00</m:t>
              </m:r>
              <m:r>
                <m:t>B</m:t>
              </m:r>
              <m:r>
                <m:t>S</m:t>
              </m:r>
              <m:r>
                <m:t>e</m:t>
              </m:r>
              <m:r>
                <m:t>p</m:t>
              </m:r>
              <m:r>
                <m:t>t</m:t>
              </m:r>
              <m:r>
                <m:t>e</m:t>
              </m:r>
              <m:r>
                <m:t>m</m:t>
              </m:r>
              <m:r>
                <m:t>b</m:t>
              </m:r>
              <m:r>
                <m:t>e</m:t>
              </m:r>
              <m:r>
                <m:t>r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6.83B consensus, together with ~</w:t>
            </w:r>
            <m:oMath>
              <m:r>
                <m:t>145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142B calendar-2026 WFE, raises out-period revenue and EPS math rather than merely producing a June-quarter beat; the ~10% versus 8% calendar-2027 WFE-growth signal should support upward revisions after the call.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2026-07-29T01:40:24Z</dcterms:created>
  <dcterms:modified xsi:type="dcterms:W3CDTF">2026-07-29T01:40:24Z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