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75330384df58d181c20c11b297b6504dd7fe37a"/>
    <w:p>
      <w:pPr>
        <w:pStyle w:val="Heading1"/>
      </w:pPr>
      <w:r>
        <w:t xml:space="preserve">Lam Research (NASDAQ: LRCX) — FY2026 Q4 Earnings Preview</w:t>
      </w:r>
    </w:p>
    <w:p>
      <w:pPr>
        <w:pStyle w:val="BlockText"/>
      </w:pPr>
      <w:r>
        <w:rPr>
          <w:b/>
          <w:bCs/>
        </w:rPr>
        <w:t xml:space="preserve">Date clarification:</w:t>
      </w:r>
      <w:r>
        <w:t xml:space="preserve"> </w:t>
      </w:r>
      <w:r>
        <w:t xml:space="preserve">The stated event date is</w:t>
      </w:r>
      <w:r>
        <w:t xml:space="preserve"> </w:t>
      </w:r>
      <w:r>
        <w:rPr>
          <w:b/>
          <w:bCs/>
        </w:rPr>
        <w:t xml:space="preserve">Wednesday, July 29, 2026</w:t>
      </w:r>
      <w:r>
        <w:t xml:space="preserve">—which is</w:t>
      </w:r>
      <w:r>
        <w:t xml:space="preserve"> </w:t>
      </w:r>
      <w:r>
        <w:rPr>
          <w:b/>
          <w:bCs/>
        </w:rPr>
        <w:t xml:space="preserve">today</w:t>
      </w:r>
      <w:r>
        <w:t xml:space="preserve">, not tomorrow. This preview is framed using information available through the</w:t>
      </w:r>
      <w:r>
        <w:t xml:space="preserve"> </w:t>
      </w:r>
      <w:r>
        <w:rPr>
          <w:b/>
          <w:bCs/>
        </w:rPr>
        <w:t xml:space="preserve">July 28 close</w:t>
      </w:r>
      <w:r>
        <w:t xml:space="preserve">, ahead of Lam’s fiscal fourth-quarter report for the quarter ended</w:t>
      </w:r>
      <w:r>
        <w:t xml:space="preserve"> </w:t>
      </w:r>
      <w:r>
        <w:rPr>
          <w:b/>
          <w:bCs/>
        </w:rPr>
        <w:t xml:space="preserve">June 28, 2026</w:t>
      </w:r>
      <w:r>
        <w:t xml:space="preserve">.</w:t>
      </w:r>
    </w:p>
    <w:bookmarkStart w:id="9" w:name="bottom-line"/>
    <w:p>
      <w:pPr>
        <w:pStyle w:val="Heading2"/>
      </w:pPr>
      <w:r>
        <w:t xml:space="preserve">Bottom line</w:t>
      </w:r>
    </w:p>
    <w:p>
      <w:pPr>
        <w:pStyle w:val="FirstParagraph"/>
      </w:pPr>
      <w:r>
        <w:t xml:space="preserve">Lam enters earnings with</w:t>
      </w:r>
      <w:r>
        <w:t xml:space="preserve"> </w:t>
      </w:r>
      <w:r>
        <w:rPr>
          <w:b/>
          <w:bCs/>
        </w:rPr>
        <w:t xml:space="preserve">operational momentum that should be strong</w:t>
      </w:r>
      <w:r>
        <w:t xml:space="preserve">, but with a stock that has been caught in a sharp AI/semiconductor-equipment de-rating. The core issue is unlikely to be whether Lam delivers a solid June quarter; management’s own outlook already called for a substantial sequential step-up. Instead, the market will focus on whether Lam can</w:t>
      </w:r>
      <w:r>
        <w:t xml:space="preserve"> </w:t>
      </w:r>
      <w:r>
        <w:rPr>
          <w:b/>
          <w:bCs/>
        </w:rPr>
        <w:t xml:space="preserve">validate that the current WFE upcycle extends through calendar 2027</w:t>
      </w:r>
      <w:r>
        <w:t xml:space="preserve">, while sustaining roughly</w:t>
      </w:r>
      <w:r>
        <w:t xml:space="preserve"> </w:t>
      </w:r>
      <w:r>
        <w:rPr>
          <w:b/>
          <w:bCs/>
        </w:rPr>
        <w:t xml:space="preserve">50% gross margins</w:t>
      </w:r>
      <w:r>
        <w:t xml:space="preserve"> </w:t>
      </w:r>
      <w:r>
        <w:t xml:space="preserve">despite higher volume, investment, geopolitical friction, and a changing China mix.</w:t>
      </w:r>
    </w:p>
    <w:p>
      <w:pPr>
        <w:pStyle w:val="BodyText"/>
      </w:pPr>
      <w:r>
        <w:t xml:space="preserve">The setup is therefore</w:t>
      </w:r>
      <w:r>
        <w:t xml:space="preserve"> </w:t>
      </w:r>
      <w:r>
        <w:rPr>
          <w:b/>
          <w:bCs/>
        </w:rPr>
        <w:t xml:space="preserve">fundamentals versus sentiment</w:t>
      </w:r>
      <w:r>
        <w:t xml:space="preserve">:</w:t>
      </w:r>
    </w:p>
    <w:p>
      <w:pPr>
        <w:pStyle w:val="Compact"/>
        <w:numPr>
          <w:ilvl w:val="0"/>
          <w:numId w:val="1001"/>
        </w:numPr>
      </w:pPr>
      <w:r>
        <w:rPr>
          <w:b/>
          <w:bCs/>
        </w:rPr>
        <w:t xml:space="preserve">Fundamentals:</w:t>
      </w:r>
      <w:r>
        <w:t xml:space="preserve"> </w:t>
      </w:r>
      <w:r>
        <w:t xml:space="preserve">AI-driven demand, rising etch/deposition intensity, memory recovery, advanced packaging, and a growing services business all support an unusually favorable earnings backdrop.</w:t>
      </w:r>
    </w:p>
    <w:p>
      <w:pPr>
        <w:pStyle w:val="Compact"/>
        <w:numPr>
          <w:ilvl w:val="0"/>
          <w:numId w:val="1001"/>
        </w:numPr>
      </w:pPr>
      <w:r>
        <w:rPr>
          <w:b/>
          <w:bCs/>
        </w:rPr>
        <w:t xml:space="preserve">Sentiment:</w:t>
      </w:r>
      <w:r>
        <w:t xml:space="preserve"> </w:t>
      </w:r>
      <w:r>
        <w:t xml:space="preserve">LRCX closed at</w:t>
      </w:r>
      <w:r>
        <w:t xml:space="preserve"> </w:t>
      </w:r>
      <w:r>
        <w:rPr>
          <w:b/>
          <w:bCs/>
        </w:rPr>
        <w:t xml:space="preserve">$269.65 on July 28</w:t>
      </w:r>
      <w:r>
        <w:t xml:space="preserve">, down roughly</w:t>
      </w:r>
      <w:r>
        <w:t xml:space="preserve"> </w:t>
      </w:r>
      <w:r>
        <w:rPr>
          <w:b/>
          <w:bCs/>
        </w:rPr>
        <w:t xml:space="preserve">34% from June 29</w:t>
      </w:r>
      <w:r>
        <w:t xml:space="preserve">, versus about a</w:t>
      </w:r>
      <w:r>
        <w:t xml:space="preserve"> </w:t>
      </w:r>
      <w:r>
        <w:rPr>
          <w:b/>
          <w:bCs/>
        </w:rPr>
        <w:t xml:space="preserve">20% decline for SOXX</w:t>
      </w:r>
      <w:r>
        <w:t xml:space="preserve"> </w:t>
      </w:r>
      <w:r>
        <w:t xml:space="preserve">over the same period. That divergence suggests investors are discounting more than a routine semiconductor pullback—potentially questioning the durability of AI capex, the memory cycle, export-control exposure, and whether expectations for 2027 have become too elevated.</w:t>
      </w:r>
    </w:p>
    <w:p>
      <w:pPr>
        <w:pStyle w:val="FirstParagraph"/>
      </w:pPr>
      <w:r>
        <w:t xml:space="preserve">A simple read-through:</w:t>
      </w:r>
      <w:r>
        <w:t xml:space="preserve"> </w:t>
      </w:r>
      <w:r>
        <w:rPr>
          <w:b/>
          <w:bCs/>
        </w:rPr>
        <w:t xml:space="preserve">a numerical beat alone may not be enough.</w:t>
      </w:r>
      <w:r>
        <w:t xml:space="preserve"> </w:t>
      </w:r>
      <w:r>
        <w:t xml:space="preserve">Lam likely needs to deliver at least the upper half of its June guidance range and, more importantly, preserve or improve its commentary around second-half growth, 2027 WFE, memory investment, and margin durability.</w:t>
      </w:r>
    </w:p>
    <w:p>
      <w:r>
        <w:pict>
          <v:rect style="width:0;height:1.5pt" o:hralign="center" o:hrstd="t" o:hr="t"/>
        </w:pict>
      </w:r>
    </w:p>
    <w:bookmarkEnd w:id="9"/>
    <w:bookmarkStart w:id="10" w:name="what-lam-guided-for"/>
    <w:p>
      <w:pPr>
        <w:pStyle w:val="Heading2"/>
      </w:pPr>
      <w:r>
        <w:t xml:space="preserve">What Lam guided for</w:t>
      </w:r>
    </w:p>
    <w:p>
      <w:pPr>
        <w:pStyle w:val="FirstParagraph"/>
      </w:pPr>
      <w:r>
        <w:t xml:space="preserve">For the June 2026 quarter, Lam guided to:</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Guidance midpoint</w:t>
            </w:r>
          </w:p>
        </w:tc>
        <w:tc>
          <w:tcPr/>
          <w:p>
            <w:pPr>
              <w:pStyle w:val="Compact"/>
              <w:jc w:val="right"/>
            </w:pPr>
            <w:r>
              <w:t xml:space="preserve">Range</w:t>
            </w:r>
          </w:p>
        </w:tc>
      </w:tr>
      <w:tr>
        <w:tc>
          <w:tcPr/>
          <w:p>
            <w:pPr>
              <w:pStyle w:val="Compact"/>
            </w:pPr>
            <w:r>
              <w:t xml:space="preserve">Revenue</w:t>
            </w:r>
          </w:p>
        </w:tc>
        <w:tc>
          <w:tcPr/>
          <w:p>
            <w:pPr>
              <w:pStyle w:val="Compact"/>
              <w:jc w:val="right"/>
            </w:pPr>
            <w:r>
              <w:rPr>
                <w:b/>
                <w:bCs/>
              </w:rPr>
              <w:t xml:space="preserve">$6.60B</w:t>
            </w:r>
          </w:p>
        </w:tc>
        <w:tc>
          <w:tcPr/>
          <w:p>
            <w:pPr>
              <w:pStyle w:val="Compact"/>
              <w:jc w:val="right"/>
            </w:pPr>
            <w:r>
              <w:t xml:space="preserve">± $0.40B</w:t>
            </w:r>
          </w:p>
        </w:tc>
      </w:tr>
      <w:tr>
        <w:tc>
          <w:tcPr/>
          <w:p>
            <w:pPr>
              <w:pStyle w:val="Compact"/>
            </w:pPr>
            <w:r>
              <w:t xml:space="preserve">Gross margin</w:t>
            </w:r>
          </w:p>
        </w:tc>
        <w:tc>
          <w:tcPr/>
          <w:p>
            <w:pPr>
              <w:pStyle w:val="Compact"/>
              <w:jc w:val="right"/>
            </w:pPr>
            <w:r>
              <w:rPr>
                <w:b/>
                <w:bCs/>
              </w:rPr>
              <w:t xml:space="preserve">50.5%</w:t>
            </w:r>
          </w:p>
        </w:tc>
        <w:tc>
          <w:tcPr/>
          <w:p>
            <w:pPr>
              <w:pStyle w:val="Compact"/>
              <w:jc w:val="right"/>
            </w:pPr>
            <w:r>
              <w:t xml:space="preserve">± 100 bps</w:t>
            </w:r>
          </w:p>
        </w:tc>
      </w:tr>
      <w:tr>
        <w:tc>
          <w:tcPr/>
          <w:p>
            <w:pPr>
              <w:pStyle w:val="Compact"/>
            </w:pPr>
            <w:r>
              <w:t xml:space="preserve">Operating margin</w:t>
            </w:r>
          </w:p>
        </w:tc>
        <w:tc>
          <w:tcPr/>
          <w:p>
            <w:pPr>
              <w:pStyle w:val="Compact"/>
              <w:jc w:val="right"/>
            </w:pPr>
            <w:r>
              <w:rPr>
                <w:b/>
                <w:bCs/>
              </w:rPr>
              <w:t xml:space="preserve">36.5%</w:t>
            </w:r>
          </w:p>
        </w:tc>
        <w:tc>
          <w:tcPr/>
          <w:p>
            <w:pPr>
              <w:pStyle w:val="Compact"/>
              <w:jc w:val="right"/>
            </w:pPr>
            <w:r>
              <w:t xml:space="preserve">± 100 bps</w:t>
            </w:r>
          </w:p>
        </w:tc>
      </w:tr>
      <w:tr>
        <w:tc>
          <w:tcPr/>
          <w:p>
            <w:pPr>
              <w:pStyle w:val="Compact"/>
            </w:pPr>
            <w:r>
              <w:t xml:space="preserve">Non-GAAP EPS</w:t>
            </w:r>
          </w:p>
        </w:tc>
        <w:tc>
          <w:tcPr/>
          <w:p>
            <w:pPr>
              <w:pStyle w:val="Compact"/>
              <w:jc w:val="right"/>
            </w:pPr>
            <w:r>
              <w:rPr>
                <w:b/>
                <w:bCs/>
              </w:rPr>
              <w:t xml:space="preserve">$1.65</w:t>
            </w:r>
          </w:p>
        </w:tc>
        <w:tc>
          <w:tcPr/>
          <w:p>
            <w:pPr>
              <w:pStyle w:val="Compact"/>
              <w:jc w:val="right"/>
            </w:pPr>
            <w:r>
              <w:t xml:space="preserve">± $0.15</w:t>
            </w:r>
          </w:p>
        </w:tc>
      </w:tr>
      <w:tr>
        <w:tc>
          <w:tcPr/>
          <w:p>
            <w:pPr>
              <w:pStyle w:val="Compact"/>
            </w:pPr>
            <w:r>
              <w:t xml:space="preserve">Diluted share count</w:t>
            </w:r>
          </w:p>
        </w:tc>
        <w:tc>
          <w:tcPr/>
          <w:p>
            <w:pPr>
              <w:pStyle w:val="Compact"/>
              <w:jc w:val="right"/>
            </w:pPr>
            <w:r>
              <w:rPr>
                <w:b/>
                <w:bCs/>
              </w:rPr>
              <w:t xml:space="preserve">1.255B</w:t>
            </w:r>
          </w:p>
        </w:tc>
        <w:tc>
          <w:tcPr/>
          <w:p>
            <w:pPr>
              <w:pStyle w:val="Compact"/>
              <w:jc w:val="right"/>
            </w:pPr>
            <w:r>
              <w:t xml:space="preserve">—</w:t>
            </w:r>
          </w:p>
        </w:tc>
      </w:tr>
    </w:tbl>
    <w:p>
      <w:pPr>
        <w:pStyle w:val="BodyText"/>
      </w:pPr>
      <w:r>
        <w:t xml:space="preserve">At the midpoint, revenue would rise approximately</w:t>
      </w:r>
      <w:r>
        <w:t xml:space="preserve"> </w:t>
      </w:r>
      <w:r>
        <w:rPr>
          <w:b/>
          <w:bCs/>
        </w:rPr>
        <w:t xml:space="preserve">13% sequentially</w:t>
      </w:r>
      <w:r>
        <w:t xml:space="preserve"> </w:t>
      </w:r>
      <w:r>
        <w:t xml:space="preserve">from March-quarter revenue of</w:t>
      </w:r>
      <w:r>
        <w:t xml:space="preserve"> </w:t>
      </w:r>
      <w:r>
        <w:rPr>
          <w:b/>
          <w:bCs/>
        </w:rPr>
        <w:t xml:space="preserve">$5.84B</w:t>
      </w:r>
      <w:r>
        <w:t xml:space="preserve">. It would also mark another record revenue quarter, following three consecutive records through the March quarter.</w:t>
      </w:r>
    </w:p>
    <w:p>
      <w:pPr>
        <w:pStyle w:val="BodyText"/>
      </w:pPr>
      <w:r>
        <w:t xml:space="preserve">The March quarter demonstrated the earnings power management believes is available in this cycle:</w:t>
      </w:r>
    </w:p>
    <w:p>
      <w:pPr>
        <w:pStyle w:val="Compact"/>
        <w:numPr>
          <w:ilvl w:val="0"/>
          <w:numId w:val="1002"/>
        </w:numPr>
      </w:pPr>
      <w:r>
        <w:t xml:space="preserve">Revenue:</w:t>
      </w:r>
      <w:r>
        <w:t xml:space="preserve"> </w:t>
      </w:r>
      <w:r>
        <w:rPr>
          <w:b/>
          <w:bCs/>
        </w:rPr>
        <w:t xml:space="preserve">$5.84B</w:t>
      </w:r>
      <w:r>
        <w:t xml:space="preserve">, up 9% sequentially and 24% year over year.</w:t>
      </w:r>
    </w:p>
    <w:p>
      <w:pPr>
        <w:pStyle w:val="Compact"/>
        <w:numPr>
          <w:ilvl w:val="0"/>
          <w:numId w:val="1002"/>
        </w:numPr>
      </w:pPr>
      <w:r>
        <w:t xml:space="preserve">Non-GAAP gross margin:</w:t>
      </w:r>
      <w:r>
        <w:t xml:space="preserve"> </w:t>
      </w:r>
      <w:r>
        <w:rPr>
          <w:b/>
          <w:bCs/>
        </w:rPr>
        <w:t xml:space="preserve">49.9%</w:t>
      </w:r>
      <w:r>
        <w:t xml:space="preserve">.</w:t>
      </w:r>
    </w:p>
    <w:p>
      <w:pPr>
        <w:pStyle w:val="Compact"/>
        <w:numPr>
          <w:ilvl w:val="0"/>
          <w:numId w:val="1002"/>
        </w:numPr>
      </w:pPr>
      <w:r>
        <w:t xml:space="preserve">Non-GAAP operating margin:</w:t>
      </w:r>
      <w:r>
        <w:t xml:space="preserve"> </w:t>
      </w:r>
      <w:r>
        <w:rPr>
          <w:b/>
          <w:bCs/>
        </w:rPr>
        <w:t xml:space="preserve">35.0%</w:t>
      </w:r>
      <w:r>
        <w:t xml:space="preserve">.</w:t>
      </w:r>
    </w:p>
    <w:p>
      <w:pPr>
        <w:pStyle w:val="Compact"/>
        <w:numPr>
          <w:ilvl w:val="0"/>
          <w:numId w:val="1002"/>
        </w:numPr>
      </w:pPr>
      <w:r>
        <w:t xml:space="preserve">Non-GAAP EPS:</w:t>
      </w:r>
      <w:r>
        <w:t xml:space="preserve"> </w:t>
      </w:r>
      <w:r>
        <w:rPr>
          <w:b/>
          <w:bCs/>
        </w:rPr>
        <w:t xml:space="preserve">$1.47</w:t>
      </w:r>
      <w:r>
        <w:t xml:space="preserve">.</w:t>
      </w:r>
    </w:p>
    <w:p>
      <w:pPr>
        <w:pStyle w:val="Compact"/>
        <w:numPr>
          <w:ilvl w:val="0"/>
          <w:numId w:val="1002"/>
        </w:numPr>
      </w:pPr>
      <w:r>
        <w:t xml:space="preserve">Customer-support revenue:</w:t>
      </w:r>
      <w:r>
        <w:t xml:space="preserve"> </w:t>
      </w:r>
      <w:r>
        <w:rPr>
          <w:b/>
          <w:bCs/>
        </w:rPr>
        <w:t xml:space="preserve">$2.11B</w:t>
      </w:r>
      <w:r>
        <w:t xml:space="preserve">, its first quarter above $2B.</w:t>
      </w:r>
    </w:p>
    <w:p>
      <w:pPr>
        <w:pStyle w:val="FirstParagraph"/>
      </w:pPr>
      <w:r>
        <w:t xml:space="preserve">The June guide implies another step-function in profitability, not merely revenue: midpoint operating income would be roughly</w:t>
      </w:r>
      <w:r>
        <w:t xml:space="preserve"> </w:t>
      </w:r>
      <w:r>
        <w:rPr>
          <w:b/>
          <w:bCs/>
        </w:rPr>
        <w:t xml:space="preserve">$2.4B</w:t>
      </w:r>
      <w:r>
        <w:t xml:space="preserve">, before considering the exact mix and spending cadence.</w:t>
      </w:r>
    </w:p>
    <w:p>
      <w:r>
        <w:pict>
          <v:rect style="width:0;height:1.5pt" o:hralign="center" o:hrstd="t" o:hr="t"/>
        </w:pict>
      </w:r>
    </w:p>
    <w:bookmarkEnd w:id="10"/>
    <w:bookmarkStart w:id="11" w:name="the-three-questions-that-matter-most"/>
    <w:p>
      <w:pPr>
        <w:pStyle w:val="Heading2"/>
      </w:pPr>
      <w:r>
        <w:t xml:space="preserve">The three questions that matter most</w:t>
      </w:r>
    </w:p>
    <w:bookmarkEnd w:id="11"/>
    <w:bookmarkStart w:id="12" w:name="X5762dc282862cdf932fd48cd763fc08a332abc2"/>
    <w:p>
      <w:pPr>
        <w:pStyle w:val="Heading2"/>
      </w:pPr>
      <w:r>
        <w:t xml:space="preserve">1. Does Lam still see 2026 WFE at $140B-plus—and a clearly growing 2027?</w:t>
      </w:r>
    </w:p>
    <w:p>
      <w:pPr>
        <w:pStyle w:val="FirstParagraph"/>
      </w:pPr>
      <w:r>
        <w:t xml:space="preserve">In April, management increased its 2026 wafer-fab-equipment outlook from approximately</w:t>
      </w:r>
      <w:r>
        <w:t xml:space="preserve"> </w:t>
      </w:r>
      <m:oMath>
        <m:r>
          <m:t>135</m:t>
        </m:r>
        <m:r>
          <m:t>B</m:t>
        </m:r>
        <m:r>
          <m:rPr>
            <m:sty m:val="p"/>
          </m:rPr>
          <m:t>*</m:t>
        </m:r>
        <m:r>
          <m:rPr>
            <m:sty m:val="p"/>
          </m:rPr>
          <m:t>*</m:t>
        </m:r>
        <m:r>
          <m:t>t</m:t>
        </m:r>
        <m:r>
          <m:t>o</m:t>
        </m:r>
        <m:r>
          <m:rPr>
            <m:sty m:val="p"/>
          </m:rPr>
          <m:t>*</m:t>
        </m:r>
        <m:r>
          <m:rPr>
            <m:sty m:val="p"/>
          </m:rPr>
          <m:t>*</m:t>
        </m:r>
      </m:oMath>
      <w:r>
        <w:rPr>
          <w:b/>
          <w:bCs/>
        </w:rPr>
        <w:t xml:space="preserve">140B, with upside bias</w:t>
      </w:r>
      <w:r>
        <w:t xml:space="preserve">. The rationale was broad-based: customers across device segments were finding incremental clean-room capacity and demand remained constrained by execution capacity rather than end-market demand.</w:t>
      </w:r>
    </w:p>
    <w:p>
      <w:pPr>
        <w:pStyle w:val="BodyText"/>
      </w:pPr>
      <w:r>
        <w:t xml:space="preserve">More important, Lam indicated that</w:t>
      </w:r>
      <w:r>
        <w:t xml:space="preserve"> </w:t>
      </w:r>
      <w:r>
        <w:rPr>
          <w:b/>
          <w:bCs/>
        </w:rPr>
        <w:t xml:space="preserve">2027 was shaping up to be a “pretty good year”</w:t>
      </w:r>
      <w:r>
        <w:t xml:space="preserve"> </w:t>
      </w:r>
      <w:r>
        <w:t xml:space="preserve">as new clean rooms become available and announced fabs progress toward tool installation.</w:t>
      </w:r>
    </w:p>
    <w:p>
      <w:pPr>
        <w:pStyle w:val="BodyText"/>
      </w:pPr>
      <w:r>
        <w:t xml:space="preserve">Investors should listen for:</w:t>
      </w:r>
    </w:p>
    <w:p>
      <w:pPr>
        <w:pStyle w:val="Compact"/>
        <w:numPr>
          <w:ilvl w:val="0"/>
          <w:numId w:val="1003"/>
        </w:numPr>
      </w:pPr>
      <w:r>
        <w:t xml:space="preserve">Whether the</w:t>
      </w:r>
      <w:r>
        <w:t xml:space="preserve"> </w:t>
      </w:r>
      <w:r>
        <w:rPr>
          <w:b/>
          <w:bCs/>
        </w:rPr>
        <w:t xml:space="preserve">$140B-plus WFE</w:t>
      </w:r>
      <w:r>
        <w:t xml:space="preserve"> </w:t>
      </w:r>
      <w:r>
        <w:t xml:space="preserve">outlook is maintained, raised, or qualified.</w:t>
      </w:r>
    </w:p>
    <w:p>
      <w:pPr>
        <w:pStyle w:val="Compact"/>
        <w:numPr>
          <w:ilvl w:val="0"/>
          <w:numId w:val="1003"/>
        </w:numPr>
      </w:pPr>
      <w:r>
        <w:t xml:space="preserve">Whether the company’s “bias to the upside” remains intact.</w:t>
      </w:r>
    </w:p>
    <w:p>
      <w:pPr>
        <w:pStyle w:val="Compact"/>
        <w:numPr>
          <w:ilvl w:val="0"/>
          <w:numId w:val="1003"/>
        </w:numPr>
      </w:pPr>
      <w:r>
        <w:t xml:space="preserve">Any change in confidence that</w:t>
      </w:r>
      <w:r>
        <w:t xml:space="preserve"> </w:t>
      </w:r>
      <w:r>
        <w:rPr>
          <w:b/>
          <w:bCs/>
        </w:rPr>
        <w:t xml:space="preserve">2027 WFE grows from 2026</w:t>
      </w:r>
      <w:r>
        <w:t xml:space="preserve">.</w:t>
      </w:r>
    </w:p>
    <w:p>
      <w:pPr>
        <w:pStyle w:val="Compact"/>
        <w:numPr>
          <w:ilvl w:val="0"/>
          <w:numId w:val="1003"/>
        </w:numPr>
      </w:pPr>
      <w:r>
        <w:t xml:space="preserve">Whether customer conversations have translated from planning discussions into firmer tool-slotting, capacity reservations, or delivery schedules.</w:t>
      </w:r>
    </w:p>
    <w:p>
      <w:pPr>
        <w:pStyle w:val="Compact"/>
        <w:numPr>
          <w:ilvl w:val="0"/>
          <w:numId w:val="1003"/>
        </w:numPr>
      </w:pPr>
      <w:r>
        <w:t xml:space="preserve">Evidence that supply-chain and factory capacity—not demand—is still the primary constraint.</w:t>
      </w:r>
    </w:p>
    <w:p>
      <w:pPr>
        <w:pStyle w:val="FirstParagraph"/>
      </w:pPr>
      <w:r>
        <w:rPr>
          <w:b/>
          <w:bCs/>
        </w:rPr>
        <w:t xml:space="preserve">Bullish outcome:</w:t>
      </w:r>
      <w:r>
        <w:t xml:space="preserve"> </w:t>
      </w:r>
      <w:r>
        <w:t xml:space="preserve">Lam lifts 2026 WFE again or reinforces that 2027 growth should be meaningful, supported by real visibility into greenfield fabs and memory capacity additions.</w:t>
      </w:r>
    </w:p>
    <w:p>
      <w:pPr>
        <w:pStyle w:val="BodyText"/>
      </w:pPr>
      <w:r>
        <w:rPr>
          <w:b/>
          <w:bCs/>
        </w:rPr>
        <w:t xml:space="preserve">Bearish outcome:</w:t>
      </w:r>
      <w:r>
        <w:t xml:space="preserve"> </w:t>
      </w:r>
      <w:r>
        <w:t xml:space="preserve">Management maintains near-term results but becomes less definitive about 2027, citing delayed fab ramps, constrained customer spending, or uncertainty around AI infrastructure returns.</w:t>
      </w:r>
    </w:p>
    <w:p>
      <w:r>
        <w:pict>
          <v:rect style="width:0;height:1.5pt" o:hralign="center" o:hrstd="t" o:hr="t"/>
        </w:pict>
      </w:r>
    </w:p>
    <w:bookmarkEnd w:id="12"/>
    <w:bookmarkStart w:id="13" w:name="X7d5085fed6c23faf2064194890c1e05cde7148c"/>
    <w:p>
      <w:pPr>
        <w:pStyle w:val="Heading2"/>
      </w:pPr>
      <w:r>
        <w:t xml:space="preserve">2. Can memory become the next leg of upside?</w:t>
      </w:r>
    </w:p>
    <w:p>
      <w:pPr>
        <w:pStyle w:val="FirstParagraph"/>
      </w:pPr>
      <w:r>
        <w:t xml:space="preserve">The March call made clear that Lam’s opportunity is no longer solely leading-edge foundry/logic and HBM-related DRAM. Management described a broadening memory recovery:</w:t>
      </w:r>
    </w:p>
    <w:p>
      <w:pPr>
        <w:pStyle w:val="Compact"/>
        <w:numPr>
          <w:ilvl w:val="0"/>
          <w:numId w:val="1004"/>
        </w:numPr>
      </w:pPr>
      <w:r>
        <w:rPr>
          <w:b/>
          <w:bCs/>
        </w:rPr>
        <w:t xml:space="preserve">DRAM</w:t>
      </w:r>
      <w:r>
        <w:t xml:space="preserve"> </w:t>
      </w:r>
      <w:r>
        <w:t xml:space="preserve">reached a record level and represented</w:t>
      </w:r>
      <w:r>
        <w:t xml:space="preserve"> </w:t>
      </w:r>
      <w:r>
        <w:rPr>
          <w:b/>
          <w:bCs/>
        </w:rPr>
        <w:t xml:space="preserve">27% of systems revenue</w:t>
      </w:r>
      <w:r>
        <w:t xml:space="preserve"> </w:t>
      </w:r>
      <w:r>
        <w:t xml:space="preserve">in March, versus 23% in December.</w:t>
      </w:r>
    </w:p>
    <w:p>
      <w:pPr>
        <w:pStyle w:val="Compact"/>
        <w:numPr>
          <w:ilvl w:val="0"/>
          <w:numId w:val="1004"/>
        </w:numPr>
      </w:pPr>
      <w:r>
        <w:rPr>
          <w:b/>
          <w:bCs/>
        </w:rPr>
        <w:t xml:space="preserve">NAND</w:t>
      </w:r>
      <w:r>
        <w:t xml:space="preserve"> </w:t>
      </w:r>
      <w:r>
        <w:t xml:space="preserve">represented</w:t>
      </w:r>
      <w:r>
        <w:t xml:space="preserve"> </w:t>
      </w:r>
      <w:r>
        <w:rPr>
          <w:b/>
          <w:bCs/>
        </w:rPr>
        <w:t xml:space="preserve">12% of systems revenue</w:t>
      </w:r>
      <w:r>
        <w:t xml:space="preserve"> </w:t>
      </w:r>
      <w:r>
        <w:t xml:space="preserve">and is expected to grow through the year.</w:t>
      </w:r>
    </w:p>
    <w:p>
      <w:pPr>
        <w:pStyle w:val="Compact"/>
        <w:numPr>
          <w:ilvl w:val="0"/>
          <w:numId w:val="1004"/>
        </w:numPr>
      </w:pPr>
      <w:r>
        <w:t xml:space="preserve">Lam expects a multi-year NAND conversion cycle as customers migrate existing capacity toward</w:t>
      </w:r>
      <w:r>
        <w:t xml:space="preserve"> </w:t>
      </w:r>
      <w:r>
        <w:rPr>
          <w:b/>
          <w:bCs/>
        </w:rPr>
        <w:t xml:space="preserve">200-plus-layer</w:t>
      </w:r>
      <w:r>
        <w:t xml:space="preserve"> </w:t>
      </w:r>
      <w:r>
        <w:t xml:space="preserve">devices, with much of the estimated</w:t>
      </w:r>
      <w:r>
        <w:t xml:space="preserve"> </w:t>
      </w:r>
      <w:r>
        <w:rPr>
          <w:b/>
          <w:bCs/>
        </w:rPr>
        <w:t xml:space="preserve">$40B</w:t>
      </w:r>
      <w:r>
        <w:t xml:space="preserve"> </w:t>
      </w:r>
      <w:r>
        <w:t xml:space="preserve">conversion opportunity now expected before the end of calendar 2027.</w:t>
      </w:r>
    </w:p>
    <w:p>
      <w:pPr>
        <w:pStyle w:val="Compact"/>
        <w:numPr>
          <w:ilvl w:val="0"/>
          <w:numId w:val="1004"/>
        </w:numPr>
      </w:pPr>
      <w:r>
        <w:t xml:space="preserve">Management expects advanced-packaging revenue to grow</w:t>
      </w:r>
      <w:r>
        <w:t xml:space="preserve"> </w:t>
      </w:r>
      <w:r>
        <w:rPr>
          <w:b/>
          <w:bCs/>
        </w:rPr>
        <w:t xml:space="preserve">more than 50% in calendar 2026</w:t>
      </w:r>
      <w:r>
        <w:t xml:space="preserve">.</w:t>
      </w:r>
    </w:p>
    <w:p>
      <w:pPr>
        <w:pStyle w:val="FirstParagraph"/>
      </w:pPr>
      <w:r>
        <w:t xml:space="preserve">The strategic point is that Lam’s exposure is not merely to wafer starts. The company benefits when process complexity rises: higher layer-count NAND, DRAM node transitions, HBM, advanced packaging, and 3D architectures all require more deposition and etch intensity.</w:t>
      </w:r>
    </w:p>
    <w:p>
      <w:pPr>
        <w:pStyle w:val="BodyText"/>
      </w:pPr>
      <w:r>
        <w:t xml:space="preserve">Key indicators:</w:t>
      </w:r>
    </w:p>
    <w:p>
      <w:pPr>
        <w:pStyle w:val="Compact"/>
        <w:numPr>
          <w:ilvl w:val="0"/>
          <w:numId w:val="1005"/>
        </w:numPr>
      </w:pPr>
      <w:r>
        <w:rPr>
          <w:b/>
          <w:bCs/>
        </w:rPr>
        <w:t xml:space="preserve">DRAM versus NAND mix:</w:t>
      </w:r>
      <w:r>
        <w:t xml:space="preserve"> </w:t>
      </w:r>
      <w:r>
        <w:t xml:space="preserve">Is NAND now accelerating enough to become a material contributor to second-half growth?</w:t>
      </w:r>
    </w:p>
    <w:p>
      <w:pPr>
        <w:pStyle w:val="Compact"/>
        <w:numPr>
          <w:ilvl w:val="0"/>
          <w:numId w:val="1005"/>
        </w:numPr>
      </w:pPr>
      <w:r>
        <w:rPr>
          <w:b/>
          <w:bCs/>
        </w:rPr>
        <w:t xml:space="preserve">HBM and advanced packaging:</w:t>
      </w:r>
      <w:r>
        <w:t xml:space="preserve"> </w:t>
      </w:r>
      <w:r>
        <w:t xml:space="preserve">Are customers pulling forward equipment needs as AI systems scale?</w:t>
      </w:r>
    </w:p>
    <w:p>
      <w:pPr>
        <w:pStyle w:val="Compact"/>
        <w:numPr>
          <w:ilvl w:val="0"/>
          <w:numId w:val="1005"/>
        </w:numPr>
      </w:pPr>
      <w:r>
        <w:rPr>
          <w:b/>
          <w:bCs/>
        </w:rPr>
        <w:t xml:space="preserve">NAND conversion spending:</w:t>
      </w:r>
      <w:r>
        <w:t xml:space="preserve"> </w:t>
      </w:r>
      <w:r>
        <w:t xml:space="preserve">Is it appearing as upgrades, new tools to relieve bottlenecks, or both?</w:t>
      </w:r>
    </w:p>
    <w:p>
      <w:pPr>
        <w:pStyle w:val="Compact"/>
        <w:numPr>
          <w:ilvl w:val="0"/>
          <w:numId w:val="1005"/>
        </w:numPr>
      </w:pPr>
      <w:r>
        <w:rPr>
          <w:b/>
          <w:bCs/>
        </w:rPr>
        <w:t xml:space="preserve">Foundry/logic:</w:t>
      </w:r>
      <w:r>
        <w:t xml:space="preserve"> </w:t>
      </w:r>
      <w:r>
        <w:t xml:space="preserve">Can leading-edge momentum remain intact while mature-node spending stays softer?</w:t>
      </w:r>
    </w:p>
    <w:p>
      <w:pPr>
        <w:pStyle w:val="FirstParagraph"/>
      </w:pPr>
      <w:r>
        <w:t xml:space="preserve">A favorable mix shift toward leading-edge memory, advanced packaging, and foundry/logic should be particularly constructive for Lam’s served available market and share opportunity.</w:t>
      </w:r>
    </w:p>
    <w:p>
      <w:r>
        <w:pict>
          <v:rect style="width:0;height:1.5pt" o:hralign="center" o:hrstd="t" o:hr="t"/>
        </w:pict>
      </w:r>
    </w:p>
    <w:bookmarkEnd w:id="13"/>
    <w:bookmarkStart w:id="14" w:name="X614c3e516207de892321fca06373b0fe787bd46"/>
    <w:p>
      <w:pPr>
        <w:pStyle w:val="Heading2"/>
      </w:pPr>
      <w:r>
        <w:t xml:space="preserve">3. Are 50%-plus gross margins sustainable?</w:t>
      </w:r>
    </w:p>
    <w:p>
      <w:pPr>
        <w:pStyle w:val="FirstParagraph"/>
      </w:pPr>
      <w:r>
        <w:t xml:space="preserve">Lam’s June guide for</w:t>
      </w:r>
      <w:r>
        <w:t xml:space="preserve"> </w:t>
      </w:r>
      <w:r>
        <w:rPr>
          <w:b/>
          <w:bCs/>
        </w:rPr>
        <w:t xml:space="preserve">50.5% gross margin</w:t>
      </w:r>
      <w:r>
        <w:t xml:space="preserve"> </w:t>
      </w:r>
      <w:r>
        <w:t xml:space="preserve">is arguably the report’s most important financial benchmark. Management previously suggested investors should model gross margin around the June-guidance level through the remainder of calendar 2026.</w:t>
      </w:r>
    </w:p>
    <w:p>
      <w:pPr>
        <w:pStyle w:val="BodyText"/>
      </w:pPr>
      <w:r>
        <w:t xml:space="preserve">This is notable because Lam has historically been viewed as a cyclical equipment supplier whose margins can be highly sensitive to volume, mix, factory utilization, and supply-chain costs. Management’s argument for more durable profitability rests on:</w:t>
      </w:r>
    </w:p>
    <w:p>
      <w:pPr>
        <w:pStyle w:val="Compact"/>
        <w:numPr>
          <w:ilvl w:val="0"/>
          <w:numId w:val="1006"/>
        </w:numPr>
      </w:pPr>
      <w:r>
        <w:rPr>
          <w:b/>
          <w:bCs/>
        </w:rPr>
        <w:t xml:space="preserve">Factory footprint and supply-chain efficiencies</w:t>
      </w:r>
      <w:r>
        <w:t xml:space="preserve">, including production closer to customers.</w:t>
      </w:r>
    </w:p>
    <w:p>
      <w:pPr>
        <w:pStyle w:val="Compact"/>
        <w:numPr>
          <w:ilvl w:val="0"/>
          <w:numId w:val="1006"/>
        </w:numPr>
      </w:pPr>
      <w:r>
        <w:rPr>
          <w:b/>
          <w:bCs/>
        </w:rPr>
        <w:t xml:space="preserve">Higher tool maturity, reliability, and installation performance</w:t>
      </w:r>
      <w:r>
        <w:t xml:space="preserve">, reducing warranty and service costs.</w:t>
      </w:r>
    </w:p>
    <w:p>
      <w:pPr>
        <w:pStyle w:val="Compact"/>
        <w:numPr>
          <w:ilvl w:val="0"/>
          <w:numId w:val="1006"/>
        </w:numPr>
      </w:pPr>
      <w:r>
        <w:rPr>
          <w:b/>
          <w:bCs/>
        </w:rPr>
        <w:t xml:space="preserve">Better monetization of customer value</w:t>
      </w:r>
      <w:r>
        <w:t xml:space="preserve">, particularly in a capacity-constrained environment.</w:t>
      </w:r>
    </w:p>
    <w:p>
      <w:pPr>
        <w:pStyle w:val="Compact"/>
        <w:numPr>
          <w:ilvl w:val="0"/>
          <w:numId w:val="1006"/>
        </w:numPr>
      </w:pPr>
      <w:r>
        <w:rPr>
          <w:b/>
          <w:bCs/>
        </w:rPr>
        <w:t xml:space="preserve">Services and installed-base monetization</w:t>
      </w:r>
      <w:r>
        <w:t xml:space="preserve">, including equipment-intelligence offerings, productivity upgrades, and Dextro maintenance cobots.</w:t>
      </w:r>
    </w:p>
    <w:p>
      <w:pPr>
        <w:pStyle w:val="FirstParagraph"/>
      </w:pPr>
      <w:r>
        <w:t xml:space="preserve">The June result will show whether the 50% threshold is a one-quarter peak or a new baseline.</w:t>
      </w:r>
    </w:p>
    <w:p>
      <w:pPr>
        <w:pStyle w:val="BodyText"/>
      </w:pPr>
      <w:r>
        <w:t xml:space="preserve">Watch for:</w:t>
      </w:r>
    </w:p>
    <w:p>
      <w:pPr>
        <w:pStyle w:val="Compact"/>
        <w:numPr>
          <w:ilvl w:val="0"/>
          <w:numId w:val="1007"/>
        </w:numPr>
      </w:pPr>
      <w:r>
        <w:t xml:space="preserve">Gross-margin performance relative to the 50.5% midpoint.</w:t>
      </w:r>
    </w:p>
    <w:p>
      <w:pPr>
        <w:pStyle w:val="Compact"/>
        <w:numPr>
          <w:ilvl w:val="0"/>
          <w:numId w:val="1007"/>
        </w:numPr>
      </w:pPr>
      <w:r>
        <w:t xml:space="preserve">Commentary on customer, regional, and product mix.</w:t>
      </w:r>
    </w:p>
    <w:p>
      <w:pPr>
        <w:pStyle w:val="Compact"/>
        <w:numPr>
          <w:ilvl w:val="0"/>
          <w:numId w:val="1007"/>
        </w:numPr>
      </w:pPr>
      <w:r>
        <w:t xml:space="preserve">Any incremental tariff, logistics, commodity, or export-control costs.</w:t>
      </w:r>
    </w:p>
    <w:p>
      <w:pPr>
        <w:pStyle w:val="Compact"/>
        <w:numPr>
          <w:ilvl w:val="0"/>
          <w:numId w:val="1007"/>
        </w:numPr>
      </w:pPr>
      <w:r>
        <w:t xml:space="preserve">The balance between higher R&amp;D investment and operating leverage.</w:t>
      </w:r>
    </w:p>
    <w:p>
      <w:pPr>
        <w:pStyle w:val="Compact"/>
        <w:numPr>
          <w:ilvl w:val="0"/>
          <w:numId w:val="1007"/>
        </w:numPr>
      </w:pPr>
      <w:r>
        <w:t xml:space="preserve">Updates to Lam’s longer-term financial model; management indicated in April that it expected to provide an updated framework later in the year.</w:t>
      </w:r>
    </w:p>
    <w:p>
      <w:pPr>
        <w:pStyle w:val="FirstParagraph"/>
      </w:pPr>
      <w:r>
        <w:rPr>
          <w:b/>
          <w:bCs/>
        </w:rPr>
        <w:t xml:space="preserve">Best case:</w:t>
      </w:r>
      <w:r>
        <w:t xml:space="preserve"> </w:t>
      </w:r>
      <w:r>
        <w:t xml:space="preserve">Lam exceeds midpoint margin guidance while continuing to invest in R&amp;D, supporting the case that earnings power has structurally improved.</w:t>
      </w:r>
    </w:p>
    <w:p>
      <w:pPr>
        <w:pStyle w:val="BodyText"/>
      </w:pPr>
      <w:r>
        <w:rPr>
          <w:b/>
          <w:bCs/>
        </w:rPr>
        <w:t xml:space="preserve">Risk case:</w:t>
      </w:r>
      <w:r>
        <w:t xml:space="preserve"> </w:t>
      </w:r>
      <w:r>
        <w:t xml:space="preserve">Revenue meets expectations, but margin is diluted by China mix, logistics, tariffs, supply constraints, or an accelerated spending plan.</w:t>
      </w:r>
    </w:p>
    <w:p>
      <w:r>
        <w:pict>
          <v:rect style="width:0;height:1.5pt" o:hralign="center" o:hrstd="t" o:hr="t"/>
        </w:pict>
      </w:r>
    </w:p>
    <w:bookmarkEnd w:id="14"/>
    <w:bookmarkStart w:id="15" w:name="china-smaller-mix-still-a-material-risk"/>
    <w:p>
      <w:pPr>
        <w:pStyle w:val="Heading2"/>
      </w:pPr>
      <w:r>
        <w:t xml:space="preserve">China: smaller mix, still a material risk</w:t>
      </w:r>
    </w:p>
    <w:p>
      <w:pPr>
        <w:pStyle w:val="FirstParagraph"/>
      </w:pPr>
      <w:r>
        <w:t xml:space="preserve">China represented</w:t>
      </w:r>
      <w:r>
        <w:t xml:space="preserve"> </w:t>
      </w:r>
      <w:r>
        <w:rPr>
          <w:b/>
          <w:bCs/>
        </w:rPr>
        <w:t xml:space="preserve">34% of March-quarter revenue</w:t>
      </w:r>
      <w:r>
        <w:t xml:space="preserve"> </w:t>
      </w:r>
      <w:r>
        <w:t xml:space="preserve">and</w:t>
      </w:r>
      <w:r>
        <w:t xml:space="preserve"> </w:t>
      </w:r>
      <w:r>
        <w:rPr>
          <w:b/>
          <w:bCs/>
        </w:rPr>
        <w:t xml:space="preserve">37% of revenue through the first nine months of fiscal 2026</w:t>
      </w:r>
      <w:r>
        <w:t xml:space="preserve">. Management said in April that China revenue should decline in the June quarter, primarily because multinational customers elsewhere are growing faster, while China WFE was expected to be roughly flat year over year.</w:t>
      </w:r>
    </w:p>
    <w:p>
      <w:pPr>
        <w:pStyle w:val="BodyText"/>
      </w:pPr>
      <w:r>
        <w:t xml:space="preserve">That mix shift can be strategically positive if it reflects stronger Korea, Taiwan, and leading-edge global customer demand. Still, China remains material enough that investors will scrutinize:</w:t>
      </w:r>
    </w:p>
    <w:p>
      <w:pPr>
        <w:pStyle w:val="Compact"/>
        <w:numPr>
          <w:ilvl w:val="0"/>
          <w:numId w:val="1008"/>
        </w:numPr>
      </w:pPr>
      <w:r>
        <w:t xml:space="preserve">The absolute level and direction of China revenue.</w:t>
      </w:r>
    </w:p>
    <w:p>
      <w:pPr>
        <w:pStyle w:val="Compact"/>
        <w:numPr>
          <w:ilvl w:val="0"/>
          <w:numId w:val="1008"/>
        </w:numPr>
      </w:pPr>
      <w:r>
        <w:t xml:space="preserve">Export-license timing and approvals.</w:t>
      </w:r>
    </w:p>
    <w:p>
      <w:pPr>
        <w:pStyle w:val="Compact"/>
        <w:numPr>
          <w:ilvl w:val="0"/>
          <w:numId w:val="1008"/>
        </w:numPr>
      </w:pPr>
      <w:r>
        <w:t xml:space="preserve">Competitive dynamics with local and state-backed equipment suppliers.</w:t>
      </w:r>
    </w:p>
    <w:p>
      <w:pPr>
        <w:pStyle w:val="Compact"/>
        <w:numPr>
          <w:ilvl w:val="0"/>
          <w:numId w:val="1008"/>
        </w:numPr>
      </w:pPr>
      <w:r>
        <w:t xml:space="preserve">Potential disruption from additional U.S./China trade restrictions, tariffs, or controls over rare-earth inputs and other materials.</w:t>
      </w:r>
    </w:p>
    <w:p>
      <w:pPr>
        <w:pStyle w:val="FirstParagraph"/>
      </w:pPr>
      <w:r>
        <w:t xml:space="preserve">Lam’s recent 10-Q explicitly highlights exposure to export controls, tariffs, China-related licensing requirements, and supply-chain dependencies. These issues may not determine the June-quarter print, but they can affect the outlook, margins, and long-term competitive position.</w:t>
      </w:r>
    </w:p>
    <w:p>
      <w:r>
        <w:pict>
          <v:rect style="width:0;height:1.5pt" o:hralign="center" o:hrstd="t" o:hr="t"/>
        </w:pict>
      </w:r>
    </w:p>
    <w:bookmarkEnd w:id="15"/>
    <w:bookmarkStart w:id="16" w:name="Xcca971ced906002552968fe6880b4fcce44f3e3"/>
    <w:p>
      <w:pPr>
        <w:pStyle w:val="Heading2"/>
      </w:pPr>
      <w:r>
        <w:t xml:space="preserve">Customer Support Business Group: the underappreciated stabilizer</w:t>
      </w:r>
    </w:p>
    <w:p>
      <w:pPr>
        <w:pStyle w:val="FirstParagraph"/>
      </w:pPr>
      <w:r>
        <w:t xml:space="preserve">Lam’s customer-support business generated a record</w:t>
      </w:r>
      <w:r>
        <w:t xml:space="preserve"> </w:t>
      </w:r>
      <w:r>
        <w:rPr>
          <w:b/>
          <w:bCs/>
        </w:rPr>
        <w:t xml:space="preserve">$2.11B</w:t>
      </w:r>
      <w:r>
        <w:t xml:space="preserve"> </w:t>
      </w:r>
      <w:r>
        <w:t xml:space="preserve">in March, up 6% sequentially and 25% year over year. In a capacity-constrained environment, customers are incentivized to maximize uptime, yield, throughput, and tool productivity rather than wait for new fab capacity.</w:t>
      </w:r>
    </w:p>
    <w:p>
      <w:pPr>
        <w:pStyle w:val="BodyText"/>
      </w:pPr>
      <w:r>
        <w:t xml:space="preserve">The near-term services question is whether elevated utilization has already pulled forward demand. Management’s April view was constructive but measured: spares and service were very strong, with revenue likely to remain around those high levels through the rest of the year, potentially modestly higher.</w:t>
      </w:r>
    </w:p>
    <w:p>
      <w:pPr>
        <w:pStyle w:val="BodyText"/>
      </w:pPr>
      <w:r>
        <w:t xml:space="preserve">The longer-term bull case is more structural:</w:t>
      </w:r>
    </w:p>
    <w:p>
      <w:pPr>
        <w:pStyle w:val="Compact"/>
        <w:numPr>
          <w:ilvl w:val="0"/>
          <w:numId w:val="1009"/>
        </w:numPr>
      </w:pPr>
      <w:r>
        <w:t xml:space="preserve">Lam has an installed base of more than</w:t>
      </w:r>
      <w:r>
        <w:t xml:space="preserve"> </w:t>
      </w:r>
      <w:r>
        <w:rPr>
          <w:b/>
          <w:bCs/>
        </w:rPr>
        <w:t xml:space="preserve">100,000 chambers</w:t>
      </w:r>
      <w:r>
        <w:t xml:space="preserve">.</w:t>
      </w:r>
    </w:p>
    <w:p>
      <w:pPr>
        <w:pStyle w:val="Compact"/>
        <w:numPr>
          <w:ilvl w:val="0"/>
          <w:numId w:val="1009"/>
        </w:numPr>
      </w:pPr>
      <w:r>
        <w:t xml:space="preserve">Customers are adopting equipment intelligence, advanced services, productivity upgrades, and automated maintenance tools.</w:t>
      </w:r>
    </w:p>
    <w:p>
      <w:pPr>
        <w:pStyle w:val="Compact"/>
        <w:numPr>
          <w:ilvl w:val="0"/>
          <w:numId w:val="1009"/>
        </w:numPr>
      </w:pPr>
      <w:r>
        <w:t xml:space="preserve">Higher technology complexity and tighter fabs make uptime and yield improvement more valuable.</w:t>
      </w:r>
    </w:p>
    <w:p>
      <w:pPr>
        <w:pStyle w:val="FirstParagraph"/>
      </w:pPr>
      <w:r>
        <w:t xml:space="preserve">For this quarter, investors should look for services growth, upgrade momentum, and whether management frames these offerings as recurring, attachable revenue streams rather than simply cycle-dependent maintenance demand.</w:t>
      </w:r>
    </w:p>
    <w:p>
      <w:r>
        <w:pict>
          <v:rect style="width:0;height:1.5pt" o:hralign="center" o:hrstd="t" o:hr="t"/>
        </w:pict>
      </w:r>
    </w:p>
    <w:bookmarkEnd w:id="16"/>
    <w:bookmarkStart w:id="20" w:name="Xde5c0c485fde6110747b2158328c986300ae91e"/>
    <w:p>
      <w:pPr>
        <w:pStyle w:val="Heading2"/>
      </w:pPr>
      <w:r>
        <w:t xml:space="preserve">Stock setup and potential reaction framework</w:t>
      </w:r>
    </w:p>
    <w:p>
      <w:pPr>
        <w:pStyle w:val="FirstParagraph"/>
      </w:pPr>
      <w:r>
        <w:t xml:space="preserve">LRCX’s July decline has been severe: it fell from</w:t>
      </w:r>
      <w:r>
        <w:t xml:space="preserve"> </w:t>
      </w:r>
      <m:oMath>
        <m:r>
          <m:t>410.91</m:t>
        </m:r>
        <m:r>
          <m:t>o</m:t>
        </m:r>
        <m:r>
          <m:t>n</m:t>
        </m:r>
        <m:r>
          <m:t>J</m:t>
        </m:r>
        <m:r>
          <m:t>u</m:t>
        </m:r>
        <m:r>
          <m:t>n</m:t>
        </m:r>
        <m:r>
          <m:t>e</m:t>
        </m:r>
        <m:r>
          <m:t>29</m:t>
        </m:r>
        <m:r>
          <m:rPr>
            <m:sty m:val="p"/>
          </m:rPr>
          <m:t>*</m:t>
        </m:r>
        <m:r>
          <m:rPr>
            <m:sty m:val="p"/>
          </m:rPr>
          <m:t>*</m:t>
        </m:r>
        <m:r>
          <m:t>t</m:t>
        </m:r>
        <m:r>
          <m:t>o</m:t>
        </m:r>
        <m:r>
          <m:rPr>
            <m:sty m:val="p"/>
          </m:rPr>
          <m:t>*</m:t>
        </m:r>
        <m:r>
          <m:rPr>
            <m:sty m:val="p"/>
          </m:rPr>
          <m:t>*</m:t>
        </m:r>
      </m:oMath>
      <w:r>
        <w:rPr>
          <w:b/>
          <w:bCs/>
        </w:rPr>
        <w:t xml:space="preserve">269.65 on July 28</w:t>
      </w:r>
      <w:r>
        <w:t xml:space="preserve">. That is a much sharper decline than the broader semiconductor-equipment ETF over the same span, even as Nvidia was approximately flat across those dates.</w:t>
      </w:r>
    </w:p>
    <w:p>
      <w:pPr>
        <w:pStyle w:val="BodyText"/>
      </w:pPr>
      <w:r>
        <w:t xml:space="preserve">This creates two competing implications:</w:t>
      </w:r>
    </w:p>
    <w:bookmarkStart w:id="17" w:name="why-the-setup-could-be-favorable"/>
    <w:p>
      <w:pPr>
        <w:pStyle w:val="Heading3"/>
      </w:pPr>
      <w:r>
        <w:t xml:space="preserve">Why the setup could be favorable</w:t>
      </w:r>
    </w:p>
    <w:p>
      <w:pPr>
        <w:pStyle w:val="Compact"/>
        <w:numPr>
          <w:ilvl w:val="0"/>
          <w:numId w:val="1010"/>
        </w:numPr>
      </w:pPr>
      <w:r>
        <w:t xml:space="preserve">Expectations and valuation sentiment may already have reset materially.</w:t>
      </w:r>
    </w:p>
    <w:p>
      <w:pPr>
        <w:pStyle w:val="Compact"/>
        <w:numPr>
          <w:ilvl w:val="0"/>
          <w:numId w:val="1010"/>
        </w:numPr>
      </w:pPr>
      <w:r>
        <w:t xml:space="preserve">Lam has a relatively clear path to a strong June print based on its own guidance and previously described momentum.</w:t>
      </w:r>
    </w:p>
    <w:p>
      <w:pPr>
        <w:pStyle w:val="Compact"/>
        <w:numPr>
          <w:ilvl w:val="0"/>
          <w:numId w:val="1010"/>
        </w:numPr>
      </w:pPr>
      <w:r>
        <w:t xml:space="preserve">Strong 2027 commentary could reassert the company’s differentiated exposure to AI-driven process complexity rather than just broad semiconductor spending.</w:t>
      </w:r>
    </w:p>
    <w:bookmarkEnd w:id="17"/>
    <w:bookmarkStart w:id="18" w:name="why-the-setup-could-remain-difficult"/>
    <w:p>
      <w:pPr>
        <w:pStyle w:val="Heading3"/>
      </w:pPr>
      <w:r>
        <w:t xml:space="preserve">Why the setup could remain difficult</w:t>
      </w:r>
    </w:p>
    <w:p>
      <w:pPr>
        <w:pStyle w:val="Compact"/>
        <w:numPr>
          <w:ilvl w:val="0"/>
          <w:numId w:val="1011"/>
        </w:numPr>
      </w:pPr>
      <w:r>
        <w:t xml:space="preserve">The market may be increasingly skeptical that AI infrastructure capex can support current multi-year equipment assumptions.</w:t>
      </w:r>
    </w:p>
    <w:p>
      <w:pPr>
        <w:pStyle w:val="Compact"/>
        <w:numPr>
          <w:ilvl w:val="0"/>
          <w:numId w:val="1011"/>
        </w:numPr>
      </w:pPr>
      <w:r>
        <w:t xml:space="preserve">A broad semiconductor risk-off tape can overwhelm a beat.</w:t>
      </w:r>
    </w:p>
    <w:p>
      <w:pPr>
        <w:pStyle w:val="Compact"/>
        <w:numPr>
          <w:ilvl w:val="0"/>
          <w:numId w:val="1011"/>
        </w:numPr>
      </w:pPr>
      <w:r>
        <w:t xml:space="preserve">Any hesitation around 2027, margin sustainability, China, or memory-spending timing could be interpreted as confirmation that the cycle is peaking.</w:t>
      </w:r>
    </w:p>
    <w:bookmarkEnd w:id="18"/>
    <w:bookmarkStart w:id="19" w:name="scenario-matrix"/>
    <w:p>
      <w:pPr>
        <w:pStyle w:val="Heading3"/>
      </w:pPr>
      <w:r>
        <w:t xml:space="preserve">Scenario matrix</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Scenario</w:t>
            </w:r>
          </w:p>
        </w:tc>
        <w:tc>
          <w:tcPr/>
          <w:p>
            <w:pPr>
              <w:pStyle w:val="Compact"/>
            </w:pPr>
            <w:r>
              <w:t xml:space="preserve">What it likely requires</w:t>
            </w:r>
          </w:p>
        </w:tc>
        <w:tc>
          <w:tcPr/>
          <w:p>
            <w:pPr>
              <w:pStyle w:val="Compact"/>
            </w:pPr>
            <w:r>
              <w:t xml:space="preserve">Likely investor interpretation</w:t>
            </w:r>
          </w:p>
        </w:tc>
      </w:tr>
      <w:tr>
        <w:tc>
          <w:tcPr/>
          <w:p>
            <w:pPr>
              <w:pStyle w:val="Compact"/>
            </w:pPr>
            <w:r>
              <w:rPr>
                <w:b/>
                <w:bCs/>
              </w:rPr>
              <w:t xml:space="preserve">Bullish</w:t>
            </w:r>
          </w:p>
        </w:tc>
        <w:tc>
          <w:tcPr/>
          <w:p>
            <w:pPr>
              <w:pStyle w:val="Compact"/>
            </w:pPr>
            <w:r>
              <w:t xml:space="preserve">Revenue/EPS toward the high end of guidance; GM at or above 50.5%; stronger 2026 WFE or confident 2027 growth commentary</w:t>
            </w:r>
          </w:p>
        </w:tc>
        <w:tc>
          <w:tcPr/>
          <w:p>
            <w:pPr>
              <w:pStyle w:val="Compact"/>
            </w:pPr>
            <w:r>
              <w:t xml:space="preserve">Lam’s AI/memory/content story remains intact; recent selloff viewed as overdone</w:t>
            </w:r>
          </w:p>
        </w:tc>
      </w:tr>
      <w:tr>
        <w:tc>
          <w:tcPr/>
          <w:p>
            <w:pPr>
              <w:pStyle w:val="Compact"/>
            </w:pPr>
            <w:r>
              <w:rPr>
                <w:b/>
                <w:bCs/>
              </w:rPr>
              <w:t xml:space="preserve">Constructive but mixed</w:t>
            </w:r>
          </w:p>
        </w:tc>
        <w:tc>
          <w:tcPr/>
          <w:p>
            <w:pPr>
              <w:pStyle w:val="Compact"/>
            </w:pPr>
            <w:r>
              <w:t xml:space="preserve">Modest beat; guide broadly maintained; no major change to 2027 outlook</w:t>
            </w:r>
          </w:p>
        </w:tc>
        <w:tc>
          <w:tcPr/>
          <w:p>
            <w:pPr>
              <w:pStyle w:val="Compact"/>
            </w:pPr>
            <w:r>
              <w:t xml:space="preserve">Solid execution, but stock reaction depends on broader AI-equipment sentiment</w:t>
            </w:r>
          </w:p>
        </w:tc>
      </w:tr>
      <w:tr>
        <w:tc>
          <w:tcPr/>
          <w:p>
            <w:pPr>
              <w:pStyle w:val="Compact"/>
            </w:pPr>
            <w:r>
              <w:rPr>
                <w:b/>
                <w:bCs/>
              </w:rPr>
              <w:t xml:space="preserve">Bearish</w:t>
            </w:r>
          </w:p>
        </w:tc>
        <w:tc>
          <w:tcPr/>
          <w:p>
            <w:pPr>
              <w:pStyle w:val="Compact"/>
            </w:pPr>
            <w:r>
              <w:t xml:space="preserve">Results near low end, margin pressure, softer China/memory outlook, or more cautious 2027 language</w:t>
            </w:r>
          </w:p>
        </w:tc>
        <w:tc>
          <w:tcPr/>
          <w:p>
            <w:pPr>
              <w:pStyle w:val="Compact"/>
            </w:pPr>
            <w:r>
              <w:t xml:space="preserve">Market focuses on cyclical and geopolitical risks rather than current-quarter earnings</w:t>
            </w:r>
          </w:p>
        </w:tc>
      </w:tr>
    </w:tbl>
    <w:p>
      <w:r>
        <w:pict>
          <v:rect style="width:0;height:1.5pt" o:hralign="center" o:hrstd="t" o:hr="t"/>
        </w:pict>
      </w:r>
    </w:p>
    <w:bookmarkEnd w:id="19"/>
    <w:bookmarkEnd w:id="20"/>
    <w:bookmarkStart w:id="21" w:name="what-i-would-listen-for-on-the-call"/>
    <w:p>
      <w:pPr>
        <w:pStyle w:val="Heading2"/>
      </w:pPr>
      <w:r>
        <w:t xml:space="preserve">What I would listen for on the call</w:t>
      </w:r>
    </w:p>
    <w:p>
      <w:pPr>
        <w:pStyle w:val="Compact"/>
        <w:numPr>
          <w:ilvl w:val="0"/>
          <w:numId w:val="1012"/>
        </w:numPr>
      </w:pPr>
      <w:r>
        <w:rPr>
          <w:b/>
          <w:bCs/>
        </w:rPr>
        <w:t xml:space="preserve">2026 WFE:</w:t>
      </w:r>
      <w:r>
        <w:t xml:space="preserve"> </w:t>
      </w:r>
      <w:r>
        <w:t xml:space="preserve">Is $140B-plus still the right number? Is the upside bias still present?</w:t>
      </w:r>
    </w:p>
    <w:p>
      <w:pPr>
        <w:pStyle w:val="Compact"/>
        <w:numPr>
          <w:ilvl w:val="0"/>
          <w:numId w:val="1012"/>
        </w:numPr>
      </w:pPr>
      <w:r>
        <w:rPr>
          <w:b/>
          <w:bCs/>
        </w:rPr>
        <w:t xml:space="preserve">2027:</w:t>
      </w:r>
      <w:r>
        <w:t xml:space="preserve"> </w:t>
      </w:r>
      <w:r>
        <w:t xml:space="preserve">Does management remain explicit that WFE should grow, and what supports the conviction?</w:t>
      </w:r>
    </w:p>
    <w:p>
      <w:pPr>
        <w:pStyle w:val="Compact"/>
        <w:numPr>
          <w:ilvl w:val="0"/>
          <w:numId w:val="1012"/>
        </w:numPr>
      </w:pPr>
      <w:r>
        <w:rPr>
          <w:b/>
          <w:bCs/>
        </w:rPr>
        <w:t xml:space="preserve">NAND:</w:t>
      </w:r>
      <w:r>
        <w:t xml:space="preserve"> </w:t>
      </w:r>
      <w:r>
        <w:t xml:space="preserve">Is conversion spending accelerating now, and how much is upgrades versus new equipment?</w:t>
      </w:r>
    </w:p>
    <w:p>
      <w:pPr>
        <w:pStyle w:val="Compact"/>
        <w:numPr>
          <w:ilvl w:val="0"/>
          <w:numId w:val="1012"/>
        </w:numPr>
      </w:pPr>
      <w:r>
        <w:rPr>
          <w:b/>
          <w:bCs/>
        </w:rPr>
        <w:t xml:space="preserve">DRAM/HBM:</w:t>
      </w:r>
      <w:r>
        <w:t xml:space="preserve"> </w:t>
      </w:r>
      <w:r>
        <w:t xml:space="preserve">Is record DRAM demand continuing, and are 1c-node and HBM transitions increasing Lam content?</w:t>
      </w:r>
    </w:p>
    <w:p>
      <w:pPr>
        <w:pStyle w:val="Compact"/>
        <w:numPr>
          <w:ilvl w:val="0"/>
          <w:numId w:val="1012"/>
        </w:numPr>
      </w:pPr>
      <w:r>
        <w:rPr>
          <w:b/>
          <w:bCs/>
        </w:rPr>
        <w:t xml:space="preserve">Advanced packaging:</w:t>
      </w:r>
      <w:r>
        <w:t xml:space="preserve"> </w:t>
      </w:r>
      <w:r>
        <w:t xml:space="preserve">Is the expected 50%-plus 2026 growth trajectory holding?</w:t>
      </w:r>
    </w:p>
    <w:p>
      <w:pPr>
        <w:pStyle w:val="Compact"/>
        <w:numPr>
          <w:ilvl w:val="0"/>
          <w:numId w:val="1012"/>
        </w:numPr>
      </w:pPr>
      <w:r>
        <w:rPr>
          <w:b/>
          <w:bCs/>
        </w:rPr>
        <w:t xml:space="preserve">Gross margin:</w:t>
      </w:r>
      <w:r>
        <w:t xml:space="preserve"> </w:t>
      </w:r>
      <w:r>
        <w:t xml:space="preserve">Is ~50.5% now a durable operating level, not just favorable mix?</w:t>
      </w:r>
    </w:p>
    <w:p>
      <w:pPr>
        <w:pStyle w:val="Compact"/>
        <w:numPr>
          <w:ilvl w:val="0"/>
          <w:numId w:val="1012"/>
        </w:numPr>
      </w:pPr>
      <w:r>
        <w:rPr>
          <w:b/>
          <w:bCs/>
        </w:rPr>
        <w:t xml:space="preserve">Services:</w:t>
      </w:r>
      <w:r>
        <w:t xml:space="preserve"> </w:t>
      </w:r>
      <w:r>
        <w:t xml:space="preserve">Are high-utilization-driven spares/service revenues sustaining, and are intelligent-services offerings adding incremental growth?</w:t>
      </w:r>
    </w:p>
    <w:p>
      <w:pPr>
        <w:pStyle w:val="Compact"/>
        <w:numPr>
          <w:ilvl w:val="0"/>
          <w:numId w:val="1012"/>
        </w:numPr>
      </w:pPr>
      <w:r>
        <w:rPr>
          <w:b/>
          <w:bCs/>
        </w:rPr>
        <w:t xml:space="preserve">China and export controls:</w:t>
      </w:r>
      <w:r>
        <w:t xml:space="preserve"> </w:t>
      </w:r>
      <w:r>
        <w:t xml:space="preserve">What is the expected China mix for the September quarter, and have licensing, tariff, or supply-chain conditions changed?</w:t>
      </w:r>
    </w:p>
    <w:p>
      <w:pPr>
        <w:pStyle w:val="Compact"/>
        <w:numPr>
          <w:ilvl w:val="0"/>
          <w:numId w:val="1012"/>
        </w:numPr>
      </w:pPr>
      <w:r>
        <w:rPr>
          <w:b/>
          <w:bCs/>
        </w:rPr>
        <w:t xml:space="preserve">Capacity:</w:t>
      </w:r>
      <w:r>
        <w:t xml:space="preserve"> </w:t>
      </w:r>
      <w:r>
        <w:t xml:space="preserve">Is Lam’s second Malaysia facility ramping as planned, and can the company meet potential 2027 demand without sacrificing margin?</w:t>
      </w:r>
    </w:p>
    <w:p>
      <w:pPr>
        <w:pStyle w:val="Compact"/>
        <w:numPr>
          <w:ilvl w:val="0"/>
          <w:numId w:val="1012"/>
        </w:numPr>
      </w:pPr>
      <w:r>
        <w:rPr>
          <w:b/>
          <w:bCs/>
        </w:rPr>
        <w:t xml:space="preserve">Capital allocation:</w:t>
      </w:r>
      <w:r>
        <w:t xml:space="preserve"> </w:t>
      </w:r>
      <w:r>
        <w:t xml:space="preserve">With substantial cash generation and</w:t>
      </w:r>
      <w:r>
        <w:t xml:space="preserve"> </w:t>
      </w:r>
      <w:r>
        <w:rPr>
          <w:b/>
          <w:bCs/>
        </w:rPr>
        <w:t xml:space="preserve">$4.3B</w:t>
      </w:r>
      <w:r>
        <w:t xml:space="preserve"> </w:t>
      </w:r>
      <w:r>
        <w:t xml:space="preserve">remaining under the repurchase authorization as of March, will buybacks remain aggressive?</w:t>
      </w:r>
    </w:p>
    <w:p>
      <w:r>
        <w:pict>
          <v:rect style="width:0;height:1.5pt" o:hralign="center" o:hrstd="t" o:hr="t"/>
        </w:pict>
      </w:r>
    </w:p>
    <w:bookmarkEnd w:id="21"/>
    <w:bookmarkStart w:id="23" w:name="investment-view-going-into-the-print"/>
    <w:p>
      <w:pPr>
        <w:pStyle w:val="Heading2"/>
      </w:pPr>
      <w:r>
        <w:t xml:space="preserve">Investment view going into the print</w:t>
      </w:r>
    </w:p>
    <w:p>
      <w:pPr>
        <w:pStyle w:val="FirstParagraph"/>
      </w:pPr>
      <w:r>
        <w:t xml:space="preserve">Lam’s earnings setup looks attractive</w:t>
      </w:r>
      <w:r>
        <w:t xml:space="preserve"> </w:t>
      </w:r>
      <w:r>
        <w:rPr>
          <w:b/>
          <w:bCs/>
        </w:rPr>
        <w:t xml:space="preserve">if</w:t>
      </w:r>
      <w:r>
        <w:t xml:space="preserve"> </w:t>
      </w:r>
      <w:r>
        <w:t xml:space="preserve">an investor believes the recent drawdown reflects a reset in AI-equipment sentiment rather than a deterioration in Lam-specific fundamentals. The company is heading into the report with a high bar on forward commentary, but also with multiple sources of potential upside: stronger-than-guided June execution, resilient margins, NAND conversion acceleration, DRAM/HBM strength, advanced packaging growth, and a favorable 2027 capacity backdrop.</w:t>
      </w:r>
    </w:p>
    <w:p>
      <w:pPr>
        <w:pStyle w:val="BodyText"/>
      </w:pPr>
      <w:r>
        <w:t xml:space="preserve">The central risk is that Lam confirms the quarter but does not sufficiently confirm the</w:t>
      </w:r>
      <w:r>
        <w:t xml:space="preserve"> </w:t>
      </w:r>
      <w:r>
        <w:rPr>
          <w:b/>
          <w:bCs/>
        </w:rPr>
        <w:t xml:space="preserve">duration</w:t>
      </w:r>
      <w:r>
        <w:t xml:space="preserve"> </w:t>
      </w:r>
      <w:r>
        <w:t xml:space="preserve">of the cycle. For LRCX, the most consequential data point is not likely to be June-quarter EPS; it is management’s confidence in</w:t>
      </w:r>
      <w:r>
        <w:t xml:space="preserve"> </w:t>
      </w:r>
      <w:r>
        <w:rPr>
          <w:b/>
          <w:bCs/>
        </w:rPr>
        <w:t xml:space="preserve">2027 WFE growth and Lam’s ability to continue outgrowing it</w:t>
      </w:r>
      <w:r>
        <w:t xml:space="preserve">.</w:t>
      </w:r>
    </w:p>
    <w:bookmarkStart w:id="22" w:name="source-basis"/>
    <w:p>
      <w:pPr>
        <w:pStyle w:val="Heading3"/>
      </w:pPr>
      <w:r>
        <w:t xml:space="preserve">Source basis</w:t>
      </w:r>
    </w:p>
    <w:p>
      <w:pPr>
        <w:pStyle w:val="Compact"/>
        <w:numPr>
          <w:ilvl w:val="0"/>
          <w:numId w:val="1013"/>
        </w:numPr>
      </w:pPr>
      <w:r>
        <w:t xml:space="preserve">Lam Research fiscal Q3 2026 earnings release and earnings-call transcript, April 22, 2026.</w:t>
      </w:r>
    </w:p>
    <w:p>
      <w:pPr>
        <w:pStyle w:val="Compact"/>
        <w:numPr>
          <w:ilvl w:val="0"/>
          <w:numId w:val="1013"/>
        </w:numPr>
      </w:pPr>
      <w:r>
        <w:t xml:space="preserve">Lam Research fiscal Q3 2026 Form 10-Q, filed April 23, 2026.</w:t>
      </w:r>
    </w:p>
    <w:p>
      <w:pPr>
        <w:pStyle w:val="Compact"/>
        <w:numPr>
          <w:ilvl w:val="0"/>
          <w:numId w:val="1013"/>
        </w:numPr>
      </w:pPr>
      <w:r>
        <w:t xml:space="preserve">Historical closing-price data through July 28, 2026.</w:t>
      </w:r>
    </w:p>
    <w:bookmarkEnd w:id="22"/>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2026-07-29T01:40:24Z</dcterms:created>
  <dcterms:modified xsi:type="dcterms:W3CDTF">2026-07-29T01:40:24Z</dcterms:modified>
</cp:coreProperties>
</file>

<file path=docProps/custom.xml><?xml version="1.0" encoding="utf-8"?>
<Properties xmlns="http://schemas.openxmlformats.org/officeDocument/2006/custom-properties" xmlns:vt="http://schemas.openxmlformats.org/officeDocument/2006/docPropsVTypes"/>
</file>