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Bdr>
          <w:bottom w:val="single" w:sz="4" w:space="1" w:color="FB9120"/>
        </w:pBdr>
      </w:pPr>
      <w:r>
        <w:rPr>
          <w:rFonts w:ascii="Calibri" w:hAnsi="Calibri"/>
          <w:b/>
          <w:color w:val="3B4259"/>
          <w:sz w:val="40"/>
        </w:rPr>
        <w:t>Lam Research Corporation (LRCX) — Earnings Preview</w:t>
      </w:r>
    </w:p>
    <w:tbl>
      <w:tblPr>
        <w:tblStyle w:val="TableGrid"/>
        <w:tblW w:type="auto" w:w="0"/>
        <w:tblLook w:firstColumn="1" w:firstRow="1" w:lastColumn="0" w:lastRow="0" w:noHBand="0" w:noVBand="1" w:val="04A0"/>
      </w:tblPr>
      <w:tblGrid>
        <w:gridCol w:w="4320"/>
        <w:gridCol w:w="4320"/>
      </w:tblGrid>
      <w:tr>
        <w:tc>
          <w:tcPr>
            <w:tcW w:type="dxa" w:w="4320"/>
          </w:tcPr>
          <w:p>
            <w:r>
              <w:rPr>
                <w:rFonts w:ascii="Calibri" w:hAnsi="Calibri"/>
                <w:b/>
                <w:sz w:val="22"/>
              </w:rPr>
              <w:t>Company</w:t>
            </w:r>
          </w:p>
        </w:tc>
        <w:tc>
          <w:tcPr>
            <w:tcW w:type="dxa" w:w="4320"/>
          </w:tcPr>
          <w:p>
            <w:r>
              <w:rPr>
                <w:rFonts w:ascii="Calibri" w:hAnsi="Calibri"/>
                <w:sz w:val="22"/>
              </w:rPr>
              <w:t>Lam Research Corporation</w:t>
            </w:r>
          </w:p>
        </w:tc>
      </w:tr>
      <w:tr>
        <w:tc>
          <w:tcPr>
            <w:tcW w:type="dxa" w:w="4320"/>
          </w:tcPr>
          <w:p>
            <w:r>
              <w:rPr>
                <w:rFonts w:ascii="Calibri" w:hAnsi="Calibri"/>
                <w:b/>
                <w:sz w:val="22"/>
              </w:rPr>
              <w:t>Ticker</w:t>
            </w:r>
          </w:p>
        </w:tc>
        <w:tc>
          <w:tcPr>
            <w:tcW w:type="dxa" w:w="4320"/>
          </w:tcPr>
          <w:p>
            <w:r>
              <w:rPr>
                <w:rFonts w:ascii="Calibri" w:hAnsi="Calibri"/>
                <w:sz w:val="22"/>
              </w:rPr>
              <w:t>LRCX (NASDAQ)</w:t>
            </w:r>
          </w:p>
        </w:tc>
      </w:tr>
      <w:tr>
        <w:tc>
          <w:tcPr>
            <w:tcW w:type="dxa" w:w="4320"/>
          </w:tcPr>
          <w:p>
            <w:r>
              <w:rPr>
                <w:rFonts w:ascii="Calibri" w:hAnsi="Calibri"/>
                <w:b/>
                <w:sz w:val="22"/>
              </w:rPr>
              <w:t>Reporting Period</w:t>
            </w:r>
          </w:p>
        </w:tc>
        <w:tc>
          <w:tcPr>
            <w:tcW w:type="dxa" w:w="4320"/>
          </w:tcPr>
          <w:p>
            <w:r>
              <w:rPr>
                <w:rFonts w:ascii="Calibri" w:hAnsi="Calibri"/>
                <w:sz w:val="22"/>
              </w:rPr>
              <w:t>Q4 FY2026 (June 2026 Quarter)</w:t>
            </w:r>
          </w:p>
        </w:tc>
      </w:tr>
      <w:tr>
        <w:tc>
          <w:tcPr>
            <w:tcW w:type="dxa" w:w="4320"/>
          </w:tcPr>
          <w:p>
            <w:r>
              <w:rPr>
                <w:rFonts w:ascii="Calibri" w:hAnsi="Calibri"/>
                <w:b/>
                <w:sz w:val="22"/>
              </w:rPr>
              <w:t>Expected Earnings Date</w:t>
            </w:r>
          </w:p>
        </w:tc>
        <w:tc>
          <w:tcPr>
            <w:tcW w:type="dxa" w:w="4320"/>
          </w:tcPr>
          <w:p>
            <w:r>
              <w:rPr>
                <w:rFonts w:ascii="Calibri" w:hAnsi="Calibri"/>
                <w:sz w:val="22"/>
              </w:rPr>
              <w:t>Late July 2026 (announced July 8, 2026)</w:t>
            </w:r>
          </w:p>
        </w:tc>
      </w:tr>
      <w:tr>
        <w:tc>
          <w:tcPr>
            <w:tcW w:type="dxa" w:w="4320"/>
          </w:tcPr>
          <w:p>
            <w:r>
              <w:rPr>
                <w:rFonts w:ascii="Calibri" w:hAnsi="Calibri"/>
                <w:b/>
                <w:sz w:val="22"/>
              </w:rPr>
              <w:t>Prepared Date</w:t>
            </w:r>
          </w:p>
        </w:tc>
        <w:tc>
          <w:tcPr>
            <w:tcW w:type="dxa" w:w="4320"/>
          </w:tcPr>
          <w:p>
            <w:r>
              <w:rPr>
                <w:rFonts w:ascii="Calibri" w:hAnsi="Calibri"/>
                <w:sz w:val="22"/>
              </w:rPr>
              <w:t>July 28, 2026</w:t>
            </w:r>
          </w:p>
        </w:tc>
      </w:tr>
      <w:tr>
        <w:tc>
          <w:tcPr>
            <w:tcW w:type="dxa" w:w="4320"/>
          </w:tcPr>
          <w:p>
            <w:r>
              <w:rPr>
                <w:rFonts w:ascii="Calibri" w:hAnsi="Calibri"/>
                <w:b/>
                <w:sz w:val="22"/>
              </w:rPr>
              <w:t>Last Earnings Date</w:t>
            </w:r>
          </w:p>
        </w:tc>
        <w:tc>
          <w:tcPr>
            <w:tcW w:type="dxa" w:w="4320"/>
          </w:tcPr>
          <w:p>
            <w:r>
              <w:rPr>
                <w:rFonts w:ascii="Calibri" w:hAnsi="Calibri"/>
                <w:sz w:val="22"/>
              </w:rPr>
              <w:t>April 22, 2026 (Q3 FY2026)</w:t>
            </w:r>
          </w:p>
        </w:tc>
      </w:tr>
    </w:tbl>
    <w:p>
      <w:pPr>
        <w:pStyle w:val="Heading2"/>
      </w:pPr>
      <w:r>
        <w:rPr>
          <w:rFonts w:ascii="Calibri" w:hAnsi="Calibri"/>
          <w:b/>
          <w:color w:val="3B4259"/>
          <w:sz w:val="28"/>
        </w:rPr>
        <w:t>1. Earnings Preview</w:t>
      </w:r>
    </w:p>
    <w:p>
      <w:r>
        <w:rPr>
          <w:rFonts w:ascii="Calibri" w:hAnsi="Calibri"/>
          <w:b/>
          <w:color w:val="525866"/>
          <w:sz w:val="22"/>
        </w:rPr>
        <w:t xml:space="preserve">Key Takeaway: </w:t>
      </w:r>
      <w:r>
        <w:rPr>
          <w:rFonts w:ascii="Calibri" w:hAnsi="Calibri"/>
          <w:color w:val="525866"/>
          <w:sz w:val="22"/>
        </w:rPr>
        <w:t>Setup skews to beat on revenue — guidance was set well above prior Street expectations and consensus has moved up materially since the April print — but the stock has already given back most of its post-earnings gains, so the real swing factor is whether management can deliver a credible WFE and 2027 growth framework that re-anchors the bull case.</w:t>
      </w:r>
    </w:p>
    <w:p>
      <w:r>
        <w:rPr>
          <w:rFonts w:ascii="Calibri" w:hAnsi="Calibri"/>
          <w:color w:val="525866"/>
          <w:sz w:val="22"/>
        </w:rPr>
        <w:t xml:space="preserve">Heading into the June quarter print, the bar is high in absolute terms but arguably achievable: management guided revenue to $6.6B (±$400M) and EPS to $1.65 (±$0.15), both well above where consensus stood before the April earnings call, and the Street has since revised estimates up to $6.69B revenue and $1.70 EPS — sitting modestly above the guidance midpoint, implying the market expects a beat. </w:t>
      </w:r>
      <w:r>
        <w:rPr>
          <w:rFonts w:ascii="Calibri" w:hAnsi="Calibri"/>
          <w:b/>
          <w:color w:val="525866"/>
          <w:sz w:val="22"/>
        </w:rPr>
        <w:t>Management's tone on the April call was emphatically bullish</w:t>
      </w:r>
      <w:r>
        <w:rPr>
          <w:rFonts w:ascii="Calibri" w:hAnsi="Calibri"/>
          <w:color w:val="525866"/>
          <w:sz w:val="22"/>
        </w:rPr>
        <w:t xml:space="preserve"> — WFE raised to $140B with upside bias, 2027 characterized as another year of compelling growth, and CSBG delivering its first-ever $2B+ quarter — representing a meaningful step-up in confidence from prior quarters. Estimate revisions have tracked guidance closely, with revenue and EPS both revised higher post-April, though the trajectory has been choppy given macro noise around tariffs and export controls. </w:t>
      </w:r>
      <w:r>
        <w:rPr>
          <w:rFonts w:ascii="Calibri" w:hAnsi="Calibri"/>
          <w:color w:val="525866"/>
          <w:sz w:val="22"/>
        </w:rPr>
        <w:t xml:space="preserve">The stock surged ~63% from the April 22 earnings date to its June 30 peak of $433, but has since sold off sharply to ~$270 as of July 28 — a 38% drawdown — dramatically underperforming the SOXX (which is up ~14% since April 22), suggesting the market has repriced LRCX on China revenue normalization fears and broader semis multiple compression rather than any fundamental deterioration in the business. </w:t>
      </w:r>
      <w:r>
        <w:rPr>
          <w:rFonts w:ascii="Calibri" w:hAnsi="Calibri"/>
          <w:b/>
          <w:color w:val="525866"/>
          <w:sz w:val="22"/>
        </w:rPr>
        <w:t>The single biggest wildcard is the updated long-term financial model</w:t>
      </w:r>
      <w:r>
        <w:rPr>
          <w:rFonts w:ascii="Calibri" w:hAnsi="Calibri"/>
          <w:color w:val="525866"/>
          <w:sz w:val="22"/>
        </w:rPr>
        <w:t xml:space="preserve"> that management committed to providing later in 2026 — if the June call includes even preliminary framework updates (operating margin targets, SAM expansion trajectory, 2027 WFE sizing), it could be the catalyst to re-rate the stock; if management defers again, the stock may struggle to recover its premium multiple.</w:t>
      </w:r>
    </w:p>
    <w:p>
      <w:pPr>
        <w:pStyle w:val="Heading2"/>
      </w:pPr>
      <w:r>
        <w:rPr>
          <w:rFonts w:ascii="Calibri" w:hAnsi="Calibri"/>
          <w:b/>
          <w:color w:val="3B4259"/>
          <w:sz w:val="28"/>
        </w:rPr>
        <w:t>2. KPIs &amp; Consensus Expectations</w:t>
      </w:r>
    </w:p>
    <w:p>
      <w:r>
        <w:rPr>
          <w:rFonts w:ascii="Calibri" w:hAnsi="Calibri"/>
          <w:b/>
          <w:color w:val="525866"/>
          <w:sz w:val="22"/>
        </w:rPr>
        <w:t xml:space="preserve">Key Takeaway: </w:t>
      </w:r>
      <w:r>
        <w:rPr>
          <w:rFonts w:ascii="Calibri" w:hAnsi="Calibri"/>
          <w:color w:val="525866"/>
          <w:sz w:val="22"/>
        </w:rPr>
        <w:t>Consensus sits modestly above guidance midpoints on both revenue ($6.69B vs. $6.60B guide) and EPS ($1.70 vs. $1.65 guide), implying the Street expects a beat — the bigger swing factor is gross margin, where the low-50s% guided range leaves room for upside surprise given LRCX’s recent track record of exceeding its own margin guidance.</w:t>
      </w:r>
    </w:p>
    <w:p>
      <w:pPr>
        <w:pStyle w:val="Heading3"/>
      </w:pPr>
      <w:r>
        <w:rPr>
          <w:rFonts w:ascii="Calibri" w:hAnsi="Calibri"/>
          <w:b/>
          <w:color w:val="3B4259"/>
          <w:sz w:val="24"/>
        </w:rPr>
        <w:t>Table 1 — Current Quarter Snapshot (Q4 FY2026 / June 2026 Quarter)</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KPI</w:t>
            </w:r>
          </w:p>
        </w:tc>
        <w:tc>
          <w:tcPr>
            <w:tcW w:type="dxa" w:w="1234"/>
            <w:shd w:val="clear" w:color="auto" w:fill="3B4259"/>
          </w:tcPr>
          <w:p>
            <w:r>
              <w:rPr>
                <w:rFonts w:ascii="Calibri" w:hAnsi="Calibri"/>
                <w:b/>
                <w:color w:val="FFFFFF"/>
                <w:sz w:val="22"/>
              </w:rPr>
              <w:t>Last Quarter Actual (Q3 FY2026 / Mar-26)</w:t>
            </w:r>
          </w:p>
        </w:tc>
        <w:tc>
          <w:tcPr>
            <w:tcW w:type="dxa" w:w="1234"/>
            <w:shd w:val="clear" w:color="auto" w:fill="3B4259"/>
          </w:tcPr>
          <w:p>
            <w:r>
              <w:rPr>
                <w:rFonts w:ascii="Calibri" w:hAnsi="Calibri"/>
                <w:b/>
                <w:color w:val="FFFFFF"/>
                <w:sz w:val="22"/>
              </w:rPr>
              <w:t>Prior Year Period (Q4 FY2025 / Jun-25)</w:t>
            </w:r>
          </w:p>
        </w:tc>
        <w:tc>
          <w:tcPr>
            <w:tcW w:type="dxa" w:w="1234"/>
            <w:shd w:val="clear" w:color="auto" w:fill="3B4259"/>
          </w:tcPr>
          <w:p>
            <w:r>
              <w:rPr>
                <w:rFonts w:ascii="Calibri" w:hAnsi="Calibri"/>
                <w:b/>
                <w:color w:val="FFFFFF"/>
                <w:sz w:val="22"/>
              </w:rPr>
              <w:t>Consensus Estimate</w:t>
            </w:r>
          </w:p>
        </w:tc>
        <w:tc>
          <w:tcPr>
            <w:tcW w:type="dxa" w:w="1234"/>
            <w:shd w:val="clear" w:color="auto" w:fill="3B4259"/>
          </w:tcPr>
          <w:p>
            <w:r>
              <w:rPr>
                <w:rFonts w:ascii="Calibri" w:hAnsi="Calibri"/>
                <w:b/>
                <w:color w:val="FFFFFF"/>
                <w:sz w:val="22"/>
              </w:rPr>
              <w:t>YoY Change</w:t>
            </w:r>
          </w:p>
        </w:tc>
        <w:tc>
          <w:tcPr>
            <w:tcW w:type="dxa" w:w="1234"/>
            <w:shd w:val="clear" w:color="auto" w:fill="3B4259"/>
          </w:tcPr>
          <w:p>
            <w:r>
              <w:rPr>
                <w:rFonts w:ascii="Calibri" w:hAnsi="Calibri"/>
                <w:b/>
                <w:color w:val="FFFFFF"/>
                <w:sz w:val="22"/>
              </w:rPr>
              <w:t>Guidance (Midpoint)</w:t>
            </w:r>
          </w:p>
        </w:tc>
        <w:tc>
          <w:tcPr>
            <w:tcW w:type="dxa" w:w="1234"/>
            <w:shd w:val="clear" w:color="auto" w:fill="3B4259"/>
          </w:tcPr>
          <w:p>
            <w:r>
              <w:rPr>
                <w:rFonts w:ascii="Calibri" w:hAnsi="Calibri"/>
                <w:b/>
                <w:color w:val="FFFFFF"/>
                <w:sz w:val="22"/>
              </w:rPr>
              <w:t>Consensus vs. Guidance (%Δ)</w:t>
            </w:r>
          </w:p>
        </w:tc>
      </w:tr>
      <w:tr>
        <w:tc>
          <w:tcPr>
            <w:tcW w:type="dxa" w:w="1234"/>
          </w:tcPr>
          <w:p>
            <w:r>
              <w:rPr>
                <w:rFonts w:ascii="Calibri" w:hAnsi="Calibri"/>
                <w:sz w:val="22"/>
              </w:rPr>
              <w:t>Total Revenue ($B)</w:t>
            </w:r>
          </w:p>
        </w:tc>
        <w:tc>
          <w:tcPr>
            <w:tcW w:type="dxa" w:w="1234"/>
          </w:tcPr>
          <w:p>
            <w:r>
              <w:rPr>
                <w:rFonts w:ascii="Calibri" w:hAnsi="Calibri"/>
                <w:sz w:val="22"/>
              </w:rPr>
              <w:t>$5.84B</w:t>
            </w:r>
          </w:p>
        </w:tc>
        <w:tc>
          <w:tcPr>
            <w:tcW w:type="dxa" w:w="1234"/>
          </w:tcPr>
          <w:p>
            <w:r>
              <w:rPr>
                <w:rFonts w:ascii="Calibri" w:hAnsi="Calibri"/>
                <w:sz w:val="22"/>
              </w:rPr>
              <w:t>$5.17B</w:t>
            </w:r>
          </w:p>
        </w:tc>
        <w:tc>
          <w:tcPr>
            <w:tcW w:type="dxa" w:w="1234"/>
          </w:tcPr>
          <w:p>
            <w:r>
              <w:rPr>
                <w:rFonts w:ascii="Calibri" w:hAnsi="Calibri"/>
                <w:sz w:val="22"/>
              </w:rPr>
              <w:t>$6.69B</w:t>
            </w:r>
          </w:p>
        </w:tc>
        <w:tc>
          <w:tcPr>
            <w:tcW w:type="dxa" w:w="1234"/>
          </w:tcPr>
          <w:p>
            <w:r>
              <w:rPr>
                <w:rFonts w:ascii="Calibri" w:hAnsi="Calibri"/>
                <w:sz w:val="22"/>
              </w:rPr>
              <w:t>+29.4%</w:t>
            </w:r>
          </w:p>
        </w:tc>
        <w:tc>
          <w:tcPr>
            <w:tcW w:type="dxa" w:w="1234"/>
          </w:tcPr>
          <w:p>
            <w:r>
              <w:rPr>
                <w:rFonts w:ascii="Calibri" w:hAnsi="Calibri"/>
                <w:sz w:val="22"/>
              </w:rPr>
              <w:t>$6.60B</w:t>
            </w:r>
          </w:p>
        </w:tc>
        <w:tc>
          <w:tcPr>
            <w:tcW w:type="dxa" w:w="1234"/>
          </w:tcPr>
          <w:p>
            <w:r>
              <w:rPr>
                <w:rFonts w:ascii="Calibri" w:hAnsi="Calibri"/>
                <w:sz w:val="22"/>
              </w:rPr>
              <w:t>+1.4%</w:t>
            </w:r>
          </w:p>
        </w:tc>
      </w:tr>
      <w:tr>
        <w:tc>
          <w:tcPr>
            <w:tcW w:type="dxa" w:w="1234"/>
          </w:tcPr>
          <w:p>
            <w:r>
              <w:rPr>
                <w:rFonts w:ascii="Calibri" w:hAnsi="Calibri"/>
                <w:sz w:val="22"/>
              </w:rPr>
              <w:t>EPS — Diluted Operating ($)</w:t>
            </w:r>
          </w:p>
        </w:tc>
        <w:tc>
          <w:tcPr>
            <w:tcW w:type="dxa" w:w="1234"/>
          </w:tcPr>
          <w:p>
            <w:r>
              <w:rPr>
                <w:rFonts w:ascii="Calibri" w:hAnsi="Calibri"/>
                <w:sz w:val="22"/>
              </w:rPr>
              <w:t>$1.47</w:t>
            </w:r>
          </w:p>
        </w:tc>
        <w:tc>
          <w:tcPr>
            <w:tcW w:type="dxa" w:w="1234"/>
          </w:tcPr>
          <w:p>
            <w:r>
              <w:rPr>
                <w:rFonts w:ascii="Calibri" w:hAnsi="Calibri"/>
                <w:sz w:val="22"/>
              </w:rPr>
              <w:t>$1.33</w:t>
            </w:r>
          </w:p>
        </w:tc>
        <w:tc>
          <w:tcPr>
            <w:tcW w:type="dxa" w:w="1234"/>
          </w:tcPr>
          <w:p>
            <w:r>
              <w:rPr>
                <w:rFonts w:ascii="Calibri" w:hAnsi="Calibri"/>
                <w:sz w:val="22"/>
              </w:rPr>
              <w:t>$1.70</w:t>
            </w:r>
          </w:p>
        </w:tc>
        <w:tc>
          <w:tcPr>
            <w:tcW w:type="dxa" w:w="1234"/>
          </w:tcPr>
          <w:p>
            <w:r>
              <w:rPr>
                <w:rFonts w:ascii="Calibri" w:hAnsi="Calibri"/>
                <w:sz w:val="22"/>
              </w:rPr>
              <w:t>+27.8%</w:t>
            </w:r>
          </w:p>
        </w:tc>
        <w:tc>
          <w:tcPr>
            <w:tcW w:type="dxa" w:w="1234"/>
          </w:tcPr>
          <w:p>
            <w:r>
              <w:rPr>
                <w:rFonts w:ascii="Calibri" w:hAnsi="Calibri"/>
                <w:sz w:val="22"/>
              </w:rPr>
              <w:t>$1.65</w:t>
            </w:r>
          </w:p>
        </w:tc>
        <w:tc>
          <w:tcPr>
            <w:tcW w:type="dxa" w:w="1234"/>
          </w:tcPr>
          <w:p>
            <w:r>
              <w:rPr>
                <w:rFonts w:ascii="Calibri" w:hAnsi="Calibri"/>
                <w:sz w:val="22"/>
              </w:rPr>
              <w:t>+3.0%</w:t>
            </w:r>
          </w:p>
        </w:tc>
      </w:tr>
      <w:tr>
        <w:tc>
          <w:tcPr>
            <w:tcW w:type="dxa" w:w="1234"/>
          </w:tcPr>
          <w:p>
            <w:r>
              <w:rPr>
                <w:rFonts w:ascii="Calibri" w:hAnsi="Calibri"/>
                <w:sz w:val="22"/>
              </w:rPr>
              <w:t>Gross Margin ($B)</w:t>
            </w:r>
          </w:p>
        </w:tc>
        <w:tc>
          <w:tcPr>
            <w:tcW w:type="dxa" w:w="1234"/>
          </w:tcPr>
          <w:p>
            <w:r>
              <w:rPr>
                <w:rFonts w:ascii="Calibri" w:hAnsi="Calibri"/>
                <w:sz w:val="22"/>
              </w:rPr>
              <w:t>$2.91B</w:t>
            </w:r>
          </w:p>
        </w:tc>
        <w:tc>
          <w:tcPr>
            <w:tcW w:type="dxa" w:w="1234"/>
          </w:tcPr>
          <w:p>
            <w:r>
              <w:rPr>
                <w:rFonts w:ascii="Calibri" w:hAnsi="Calibri"/>
                <w:sz w:val="22"/>
              </w:rPr>
              <w:t>$2.59B</w:t>
            </w:r>
          </w:p>
        </w:tc>
        <w:tc>
          <w:tcPr>
            <w:tcW w:type="dxa" w:w="1234"/>
          </w:tcPr>
          <w:p>
            <w:r>
              <w:rPr>
                <w:rFonts w:ascii="Calibri" w:hAnsi="Calibri"/>
                <w:sz w:val="22"/>
              </w:rPr>
              <w:t>$3.39B</w:t>
            </w:r>
          </w:p>
        </w:tc>
        <w:tc>
          <w:tcPr>
            <w:tcW w:type="dxa" w:w="1234"/>
          </w:tcPr>
          <w:p>
            <w:r>
              <w:rPr>
                <w:rFonts w:ascii="Calibri" w:hAnsi="Calibri"/>
                <w:sz w:val="22"/>
              </w:rPr>
              <w:t>+30.9%</w:t>
            </w:r>
          </w:p>
        </w:tc>
        <w:tc>
          <w:tcPr>
            <w:tcW w:type="dxa" w:w="1234"/>
          </w:tcPr>
          <w:p>
            <w:r>
              <w:rPr>
                <w:rFonts w:ascii="Calibri" w:hAnsi="Calibri"/>
                <w:sz w:val="22"/>
              </w:rPr>
              <w:t>~50.5% of rev.</w:t>
            </w:r>
          </w:p>
        </w:tc>
        <w:tc>
          <w:tcPr>
            <w:tcW w:type="dxa" w:w="1234"/>
          </w:tcPr>
          <w:p>
            <w:r>
              <w:rPr>
                <w:rFonts w:ascii="Calibri" w:hAnsi="Calibri"/>
                <w:sz w:val="22"/>
              </w:rPr>
              <w:t>~$3.34B at guide midpoint; consensus +1.5%</w:t>
            </w:r>
          </w:p>
        </w:tc>
      </w:tr>
      <w:tr>
        <w:tc>
          <w:tcPr>
            <w:tcW w:type="dxa" w:w="1234"/>
          </w:tcPr>
          <w:p>
            <w:r>
              <w:rPr>
                <w:rFonts w:ascii="Calibri" w:hAnsi="Calibri"/>
                <w:sz w:val="22"/>
              </w:rPr>
              <w:t>CSBG Revenue ($B)</w:t>
            </w:r>
          </w:p>
        </w:tc>
        <w:tc>
          <w:tcPr>
            <w:tcW w:type="dxa" w:w="1234"/>
          </w:tcPr>
          <w:p>
            <w:r>
              <w:rPr>
                <w:rFonts w:ascii="Calibri" w:hAnsi="Calibri"/>
                <w:sz w:val="22"/>
              </w:rPr>
              <w:t>$2.11B</w:t>
            </w:r>
          </w:p>
        </w:tc>
        <w:tc>
          <w:tcPr>
            <w:tcW w:type="dxa" w:w="1234"/>
          </w:tcPr>
          <w:p>
            <w:r>
              <w:rPr>
                <w:rFonts w:ascii="Calibri" w:hAnsi="Calibri"/>
                <w:sz w:val="22"/>
              </w:rPr>
              <w:t>$1.73B</w:t>
            </w:r>
          </w:p>
        </w:tc>
        <w:tc>
          <w:tcPr>
            <w:tcW w:type="dxa" w:w="1234"/>
          </w:tcPr>
          <w:p>
            <w:r>
              <w:rPr>
                <w:rFonts w:ascii="Calibri" w:hAnsi="Calibri"/>
                <w:sz w:val="22"/>
              </w:rPr>
              <w:t>$2.15B</w:t>
            </w:r>
          </w:p>
        </w:tc>
        <w:tc>
          <w:tcPr>
            <w:tcW w:type="dxa" w:w="1234"/>
          </w:tcPr>
          <w:p>
            <w:r>
              <w:rPr>
                <w:rFonts w:ascii="Calibri" w:hAnsi="Calibri"/>
                <w:sz w:val="22"/>
              </w:rPr>
              <w:t>+24.3%</w:t>
            </w:r>
          </w:p>
        </w:tc>
        <w:tc>
          <w:tcPr>
            <w:tcW w:type="dxa" w:w="1234"/>
          </w:tcPr>
          <w:p>
            <w:r>
              <w:rPr>
                <w:rFonts w:ascii="Calibri" w:hAnsi="Calibri"/>
                <w:sz w:val="22"/>
              </w:rPr>
              <w:t>~Flat to slightly up vs. Q3</w:t>
            </w:r>
          </w:p>
        </w:tc>
        <w:tc>
          <w:tcPr>
            <w:tcW w:type="dxa" w:w="1234"/>
          </w:tcPr>
          <w:p>
            <w:r>
              <w:rPr>
                <w:rFonts w:ascii="Calibri" w:hAnsi="Calibri"/>
                <w:sz w:val="22"/>
              </w:rPr>
              <w:t>In line</w:t>
            </w:r>
          </w:p>
        </w:tc>
      </w:tr>
      <w:tr>
        <w:tc>
          <w:tcPr>
            <w:tcW w:type="dxa" w:w="1234"/>
          </w:tcPr>
          <w:p>
            <w:r>
              <w:rPr>
                <w:rFonts w:ascii="Calibri" w:hAnsi="Calibri"/>
                <w:sz w:val="22"/>
              </w:rPr>
              <w:t>Systems Revenue ($B)</w:t>
            </w:r>
          </w:p>
        </w:tc>
        <w:tc>
          <w:tcPr>
            <w:tcW w:type="dxa" w:w="1234"/>
          </w:tcPr>
          <w:p>
            <w:r>
              <w:rPr>
                <w:rFonts w:ascii="Calibri" w:hAnsi="Calibri"/>
                <w:sz w:val="22"/>
              </w:rPr>
              <w:t>$3.73B</w:t>
            </w:r>
          </w:p>
        </w:tc>
        <w:tc>
          <w:tcPr>
            <w:tcW w:type="dxa" w:w="1234"/>
          </w:tcPr>
          <w:p>
            <w:r>
              <w:rPr>
                <w:rFonts w:ascii="Calibri" w:hAnsi="Calibri"/>
                <w:sz w:val="22"/>
              </w:rPr>
              <w:t>$3.44B</w:t>
            </w:r>
          </w:p>
        </w:tc>
        <w:tc>
          <w:tcPr>
            <w:tcW w:type="dxa" w:w="1234"/>
          </w:tcPr>
          <w:p>
            <w:r>
              <w:rPr>
                <w:rFonts w:ascii="Calibri" w:hAnsi="Calibri"/>
                <w:sz w:val="22"/>
              </w:rPr>
              <w:t>$4.55B</w:t>
            </w:r>
          </w:p>
        </w:tc>
        <w:tc>
          <w:tcPr>
            <w:tcW w:type="dxa" w:w="1234"/>
          </w:tcPr>
          <w:p>
            <w:r>
              <w:rPr>
                <w:rFonts w:ascii="Calibri" w:hAnsi="Calibri"/>
                <w:sz w:val="22"/>
              </w:rPr>
              <w:t>+32.3%</w:t>
            </w:r>
          </w:p>
        </w:tc>
        <w:tc>
          <w:tcPr>
            <w:tcW w:type="dxa" w:w="1234"/>
          </w:tcPr>
          <w:p>
            <w:r>
              <w:rPr>
                <w:rFonts w:ascii="Calibri" w:hAnsi="Calibri"/>
                <w:sz w:val="22"/>
              </w:rPr>
              <w:t>Implied ~$4.45B</w:t>
            </w:r>
          </w:p>
        </w:tc>
        <w:tc>
          <w:tcPr>
            <w:tcW w:type="dxa" w:w="1234"/>
          </w:tcPr>
          <w:p>
            <w:r>
              <w:rPr>
                <w:rFonts w:ascii="Calibri" w:hAnsi="Calibri"/>
                <w:sz w:val="22"/>
              </w:rPr>
              <w:t>+2.2%</w:t>
            </w:r>
          </w:p>
        </w:tc>
      </w:tr>
      <w:tr>
        <w:tc>
          <w:tcPr>
            <w:tcW w:type="dxa" w:w="1234"/>
          </w:tcPr>
          <w:p>
            <w:r>
              <w:rPr>
                <w:rFonts w:ascii="Calibri" w:hAnsi="Calibri"/>
                <w:sz w:val="22"/>
              </w:rPr>
              <w:t>China Revenue ($B)</w:t>
            </w:r>
          </w:p>
        </w:tc>
        <w:tc>
          <w:tcPr>
            <w:tcW w:type="dxa" w:w="1234"/>
          </w:tcPr>
          <w:p>
            <w:r>
              <w:rPr>
                <w:rFonts w:ascii="Calibri" w:hAnsi="Calibri"/>
                <w:sz w:val="22"/>
              </w:rPr>
              <w:t>$1.99B (34% of rev.)</w:t>
            </w:r>
          </w:p>
        </w:tc>
        <w:tc>
          <w:tcPr>
            <w:tcW w:type="dxa" w:w="1234"/>
          </w:tcPr>
          <w:p>
            <w:r>
              <w:rPr>
                <w:rFonts w:ascii="Calibri" w:hAnsi="Calibri"/>
                <w:sz w:val="22"/>
              </w:rPr>
              <w:t>$1.81B (35% of rev.)</w:t>
            </w:r>
          </w:p>
        </w:tc>
        <w:tc>
          <w:tcPr>
            <w:tcW w:type="dxa" w:w="1234"/>
          </w:tcPr>
          <w:p>
            <w:r>
              <w:rPr>
                <w:rFonts w:ascii="Calibri" w:hAnsi="Calibri"/>
                <w:sz w:val="22"/>
              </w:rPr>
              <w:t>$1.84B</w:t>
            </w:r>
          </w:p>
        </w:tc>
        <w:tc>
          <w:tcPr>
            <w:tcW w:type="dxa" w:w="1234"/>
          </w:tcPr>
          <w:p>
            <w:r>
              <w:rPr>
                <w:rFonts w:ascii="Calibri" w:hAnsi="Calibri"/>
                <w:sz w:val="22"/>
              </w:rPr>
              <w:t>+1.7%</w:t>
            </w:r>
          </w:p>
        </w:tc>
        <w:tc>
          <w:tcPr>
            <w:tcW w:type="dxa" w:w="1234"/>
          </w:tcPr>
          <w:p>
            <w:r>
              <w:rPr>
                <w:rFonts w:ascii="Calibri" w:hAnsi="Calibri"/>
                <w:sz w:val="22"/>
              </w:rPr>
              <w:t>Decline from Q3 levels (&lt;30% of rev.)</w:t>
            </w:r>
          </w:p>
        </w:tc>
        <w:tc>
          <w:tcPr>
            <w:tcW w:type="dxa" w:w="1234"/>
          </w:tcPr>
          <w:p>
            <w:r>
              <w:rPr>
                <w:rFonts w:ascii="Calibri" w:hAnsi="Calibri"/>
                <w:sz w:val="22"/>
              </w:rPr>
              <w:t>In line</w:t>
            </w:r>
          </w:p>
        </w:tc>
      </w:tr>
      <w:tr>
        <w:tc>
          <w:tcPr>
            <w:tcW w:type="dxa" w:w="1234"/>
          </w:tcPr>
          <w:p>
            <w:r>
              <w:rPr>
                <w:rFonts w:ascii="Calibri" w:hAnsi="Calibri"/>
                <w:sz w:val="22"/>
              </w:rPr>
              <w:t>Operating Income — Operating ($B)</w:t>
            </w:r>
          </w:p>
        </w:tc>
        <w:tc>
          <w:tcPr>
            <w:tcW w:type="dxa" w:w="1234"/>
          </w:tcPr>
          <w:p>
            <w:r>
              <w:rPr>
                <w:rFonts w:ascii="Calibri" w:hAnsi="Calibri"/>
                <w:sz w:val="22"/>
              </w:rPr>
              <w:t>$2.05B</w:t>
            </w:r>
          </w:p>
        </w:tc>
        <w:tc>
          <w:tcPr>
            <w:tcW w:type="dxa" w:w="1234"/>
          </w:tcPr>
          <w:p>
            <w:r>
              <w:rPr>
                <w:rFonts w:ascii="Calibri" w:hAnsi="Calibri"/>
                <w:sz w:val="22"/>
              </w:rPr>
              <w:t>$1.78B</w:t>
            </w:r>
          </w:p>
        </w:tc>
        <w:tc>
          <w:tcPr>
            <w:tcW w:type="dxa" w:w="1234"/>
          </w:tcPr>
          <w:p>
            <w:r>
              <w:rPr>
                <w:rFonts w:ascii="Calibri" w:hAnsi="Calibri"/>
                <w:sz w:val="22"/>
              </w:rPr>
              <w:t>$2.46B</w:t>
            </w:r>
          </w:p>
        </w:tc>
        <w:tc>
          <w:tcPr>
            <w:tcW w:type="dxa" w:w="1234"/>
          </w:tcPr>
          <w:p>
            <w:r>
              <w:rPr>
                <w:rFonts w:ascii="Calibri" w:hAnsi="Calibri"/>
                <w:sz w:val="22"/>
              </w:rPr>
              <w:t>+38.2%</w:t>
            </w:r>
          </w:p>
        </w:tc>
        <w:tc>
          <w:tcPr>
            <w:tcW w:type="dxa" w:w="1234"/>
          </w:tcPr>
          <w:p>
            <w:r>
              <w:rPr>
                <w:rFonts w:ascii="Calibri" w:hAnsi="Calibri"/>
                <w:sz w:val="22"/>
              </w:rPr>
              <w:t>N/A (not guided explicitly)</w:t>
            </w:r>
          </w:p>
        </w:tc>
        <w:tc>
          <w:tcPr>
            <w:tcW w:type="dxa" w:w="1234"/>
          </w:tcPr>
          <w:p>
            <w:r>
              <w:rPr>
                <w:rFonts w:ascii="Calibri" w:hAnsi="Calibri"/>
                <w:sz w:val="22"/>
              </w:rPr>
              <w:t>N/A</w:t>
            </w:r>
          </w:p>
        </w:tc>
      </w:tr>
    </w:tbl>
    <w:p>
      <w:r>
        <w:rPr>
          <w:rFonts w:ascii="Calibri" w:hAnsi="Calibri"/>
          <w:i/>
          <w:color w:val="525866"/>
          <w:sz w:val="22"/>
        </w:rPr>
        <w:t>Sources: Visible Alpha Consensus and Actuals Data. Guidance from LRCX Q3 FY2026 Earnings Call (April 22, 2026). Gross margin guidance midpoint of 50.5% applied to consensus revenue estimate to derive implied gross margin dollar consensus vs. guidance comparison.</w:t>
      </w:r>
    </w:p>
    <w:p>
      <w:pPr>
        <w:pStyle w:val="Heading3"/>
      </w:pPr>
      <w:r>
        <w:rPr>
          <w:rFonts w:ascii="Calibri" w:hAnsi="Calibri"/>
          <w:b/>
          <w:color w:val="3B4259"/>
          <w:sz w:val="24"/>
        </w:rPr>
        <w:t>Table 2 — Beat/Miss History (Last 8 Quarters, Top 2 KPIs: Revenue &amp; Operating EPS)</w:t>
      </w:r>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shd w:val="clear" w:color="auto" w:fill="3B4259"/>
          </w:tcPr>
          <w:p>
            <w:r>
              <w:rPr>
                <w:rFonts w:ascii="Calibri" w:hAnsi="Calibri"/>
                <w:b/>
                <w:color w:val="FFFFFF"/>
                <w:sz w:val="22"/>
              </w:rPr>
              <w:t>Quarter</w:t>
            </w:r>
          </w:p>
        </w:tc>
        <w:tc>
          <w:tcPr>
            <w:tcW w:type="dxa" w:w="1440"/>
            <w:shd w:val="clear" w:color="auto" w:fill="3B4259"/>
          </w:tcPr>
          <w:p>
            <w:r>
              <w:rPr>
                <w:rFonts w:ascii="Calibri" w:hAnsi="Calibri"/>
                <w:b/>
                <w:color w:val="FFFFFF"/>
                <w:sz w:val="22"/>
              </w:rPr>
              <w:t>KPI</w:t>
            </w:r>
          </w:p>
        </w:tc>
        <w:tc>
          <w:tcPr>
            <w:tcW w:type="dxa" w:w="1440"/>
            <w:shd w:val="clear" w:color="auto" w:fill="3B4259"/>
          </w:tcPr>
          <w:p>
            <w:r>
              <w:rPr>
                <w:rFonts w:ascii="Calibri" w:hAnsi="Calibri"/>
                <w:b/>
                <w:color w:val="FFFFFF"/>
                <w:sz w:val="22"/>
              </w:rPr>
              <w:t>Reported</w:t>
            </w:r>
          </w:p>
        </w:tc>
        <w:tc>
          <w:tcPr>
            <w:tcW w:type="dxa" w:w="1440"/>
            <w:shd w:val="clear" w:color="auto" w:fill="3B4259"/>
          </w:tcPr>
          <w:p>
            <w:r>
              <w:rPr>
                <w:rFonts w:ascii="Calibri" w:hAnsi="Calibri"/>
                <w:b/>
                <w:color w:val="FFFFFF"/>
                <w:sz w:val="22"/>
              </w:rPr>
              <w:t>Consensus</w:t>
            </w:r>
          </w:p>
        </w:tc>
        <w:tc>
          <w:tcPr>
            <w:tcW w:type="dxa" w:w="1440"/>
            <w:shd w:val="clear" w:color="auto" w:fill="3B4259"/>
          </w:tcPr>
          <w:p>
            <w:r>
              <w:rPr>
                <w:rFonts w:ascii="Calibri" w:hAnsi="Calibri"/>
                <w:b/>
                <w:color w:val="FFFFFF"/>
                <w:sz w:val="22"/>
              </w:rPr>
              <w:t>Surprise %</w:t>
            </w:r>
          </w:p>
        </w:tc>
        <w:tc>
          <w:tcPr>
            <w:tcW w:type="dxa" w:w="1440"/>
            <w:shd w:val="clear" w:color="auto" w:fill="3B4259"/>
          </w:tcPr>
          <w:p>
            <w:r>
              <w:rPr>
                <w:rFonts w:ascii="Calibri" w:hAnsi="Calibri"/>
                <w:b/>
                <w:color w:val="FFFFFF"/>
                <w:sz w:val="22"/>
              </w:rPr>
              <w:t>Result</w:t>
            </w:r>
          </w:p>
        </w:tc>
      </w:tr>
      <w:tr>
        <w:tc>
          <w:tcPr>
            <w:tcW w:type="dxa" w:w="1440"/>
          </w:tcPr>
          <w:p>
            <w:r>
              <w:rPr>
                <w:rFonts w:ascii="Calibri" w:hAnsi="Calibri"/>
                <w:sz w:val="22"/>
              </w:rPr>
              <w:t>Q3 FY2026 (Mar-26)</w:t>
            </w:r>
          </w:p>
        </w:tc>
        <w:tc>
          <w:tcPr>
            <w:tcW w:type="dxa" w:w="1440"/>
          </w:tcPr>
          <w:p>
            <w:r>
              <w:rPr>
                <w:rFonts w:ascii="Calibri" w:hAnsi="Calibri"/>
                <w:sz w:val="22"/>
              </w:rPr>
              <w:t>Revenue</w:t>
            </w:r>
          </w:p>
        </w:tc>
        <w:tc>
          <w:tcPr>
            <w:tcW w:type="dxa" w:w="1440"/>
          </w:tcPr>
          <w:p>
            <w:r>
              <w:rPr>
                <w:rFonts w:ascii="Calibri" w:hAnsi="Calibri"/>
                <w:sz w:val="22"/>
              </w:rPr>
              <w:t>$5.84B</w:t>
            </w:r>
          </w:p>
        </w:tc>
        <w:tc>
          <w:tcPr>
            <w:tcW w:type="dxa" w:w="1440"/>
          </w:tcPr>
          <w:p>
            <w:r>
              <w:rPr>
                <w:rFonts w:ascii="Calibri" w:hAnsi="Calibri"/>
                <w:sz w:val="22"/>
              </w:rPr>
              <w:t>$5.74B</w:t>
            </w:r>
          </w:p>
        </w:tc>
        <w:tc>
          <w:tcPr>
            <w:tcW w:type="dxa" w:w="1440"/>
          </w:tcPr>
          <w:p>
            <w:r>
              <w:rPr>
                <w:rFonts w:ascii="Calibri" w:hAnsi="Calibri"/>
                <w:b/>
                <w:color w:val="30A46C"/>
                <w:sz w:val="22"/>
              </w:rPr>
              <w:t>+1.7%</w:t>
            </w:r>
          </w:p>
        </w:tc>
        <w:tc>
          <w:tcPr>
            <w:tcW w:type="dxa" w:w="1440"/>
          </w:tcPr>
          <w:p>
            <w:r>
              <w:rPr>
                <w:rFonts w:ascii="Calibri" w:hAnsi="Calibri"/>
                <w:sz w:val="22"/>
              </w:rPr>
              <w:t>Beat</w:t>
            </w:r>
          </w:p>
        </w:tc>
      </w:tr>
      <w:tr>
        <w:tc>
          <w:tcPr>
            <w:tcW w:type="dxa" w:w="1440"/>
          </w:tcPr>
          <w:p>
            <w:r>
              <w:rPr>
                <w:rFonts w:ascii="Calibri" w:hAnsi="Calibri"/>
                <w:sz w:val="22"/>
              </w:rPr>
              <w:t>Q3 FY2026 (Mar-26)</w:t>
            </w:r>
          </w:p>
        </w:tc>
        <w:tc>
          <w:tcPr>
            <w:tcW w:type="dxa" w:w="1440"/>
          </w:tcPr>
          <w:p>
            <w:r>
              <w:rPr>
                <w:rFonts w:ascii="Calibri" w:hAnsi="Calibri"/>
                <w:sz w:val="22"/>
              </w:rPr>
              <w:t>Op. EPS</w:t>
            </w:r>
          </w:p>
        </w:tc>
        <w:tc>
          <w:tcPr>
            <w:tcW w:type="dxa" w:w="1440"/>
          </w:tcPr>
          <w:p>
            <w:r>
              <w:rPr>
                <w:rFonts w:ascii="Calibri" w:hAnsi="Calibri"/>
                <w:sz w:val="22"/>
              </w:rPr>
              <w:t>$1.47</w:t>
            </w:r>
          </w:p>
        </w:tc>
        <w:tc>
          <w:tcPr>
            <w:tcW w:type="dxa" w:w="1440"/>
          </w:tcPr>
          <w:p>
            <w:r>
              <w:rPr>
                <w:rFonts w:ascii="Calibri" w:hAnsi="Calibri"/>
                <w:sz w:val="22"/>
              </w:rPr>
              <w:t>$1.36</w:t>
            </w:r>
          </w:p>
        </w:tc>
        <w:tc>
          <w:tcPr>
            <w:tcW w:type="dxa" w:w="1440"/>
          </w:tcPr>
          <w:p>
            <w:r>
              <w:rPr>
                <w:rFonts w:ascii="Calibri" w:hAnsi="Calibri"/>
                <w:b/>
                <w:color w:val="30A46C"/>
                <w:sz w:val="22"/>
              </w:rPr>
              <w:t>+8.1%</w:t>
            </w:r>
          </w:p>
        </w:tc>
        <w:tc>
          <w:tcPr>
            <w:tcW w:type="dxa" w:w="1440"/>
          </w:tcPr>
          <w:p>
            <w:r>
              <w:rPr>
                <w:rFonts w:ascii="Calibri" w:hAnsi="Calibri"/>
                <w:sz w:val="22"/>
              </w:rPr>
              <w:t>Beat</w:t>
            </w:r>
          </w:p>
        </w:tc>
      </w:tr>
      <w:tr>
        <w:tc>
          <w:tcPr>
            <w:tcW w:type="dxa" w:w="1440"/>
          </w:tcPr>
          <w:p>
            <w:r>
              <w:rPr>
                <w:rFonts w:ascii="Calibri" w:hAnsi="Calibri"/>
                <w:sz w:val="22"/>
              </w:rPr>
              <w:t>Q2 FY2026 (Dec-25)</w:t>
            </w:r>
          </w:p>
        </w:tc>
        <w:tc>
          <w:tcPr>
            <w:tcW w:type="dxa" w:w="1440"/>
          </w:tcPr>
          <w:p>
            <w:r>
              <w:rPr>
                <w:rFonts w:ascii="Calibri" w:hAnsi="Calibri"/>
                <w:sz w:val="22"/>
              </w:rPr>
              <w:t>Revenue</w:t>
            </w:r>
          </w:p>
        </w:tc>
        <w:tc>
          <w:tcPr>
            <w:tcW w:type="dxa" w:w="1440"/>
          </w:tcPr>
          <w:p>
            <w:r>
              <w:rPr>
                <w:rFonts w:ascii="Calibri" w:hAnsi="Calibri"/>
                <w:sz w:val="22"/>
              </w:rPr>
              <w:t>$5.34B</w:t>
            </w:r>
          </w:p>
        </w:tc>
        <w:tc>
          <w:tcPr>
            <w:tcW w:type="dxa" w:w="1440"/>
          </w:tcPr>
          <w:p>
            <w:r>
              <w:rPr>
                <w:rFonts w:ascii="Calibri" w:hAnsi="Calibri"/>
                <w:sz w:val="22"/>
              </w:rPr>
              <w:t>$5.25B</w:t>
            </w:r>
          </w:p>
        </w:tc>
        <w:tc>
          <w:tcPr>
            <w:tcW w:type="dxa" w:w="1440"/>
          </w:tcPr>
          <w:p>
            <w:r>
              <w:rPr>
                <w:rFonts w:ascii="Calibri" w:hAnsi="Calibri"/>
                <w:b/>
                <w:color w:val="30A46C"/>
                <w:sz w:val="22"/>
              </w:rPr>
              <w:t>+1.7%</w:t>
            </w:r>
          </w:p>
        </w:tc>
        <w:tc>
          <w:tcPr>
            <w:tcW w:type="dxa" w:w="1440"/>
          </w:tcPr>
          <w:p>
            <w:r>
              <w:rPr>
                <w:rFonts w:ascii="Calibri" w:hAnsi="Calibri"/>
                <w:sz w:val="22"/>
              </w:rPr>
              <w:t>Beat</w:t>
            </w:r>
          </w:p>
        </w:tc>
      </w:tr>
      <w:tr>
        <w:tc>
          <w:tcPr>
            <w:tcW w:type="dxa" w:w="1440"/>
          </w:tcPr>
          <w:p>
            <w:r>
              <w:rPr>
                <w:rFonts w:ascii="Calibri" w:hAnsi="Calibri"/>
                <w:sz w:val="22"/>
              </w:rPr>
              <w:t>Q2 FY2026 (Dec-25)</w:t>
            </w:r>
          </w:p>
        </w:tc>
        <w:tc>
          <w:tcPr>
            <w:tcW w:type="dxa" w:w="1440"/>
          </w:tcPr>
          <w:p>
            <w:r>
              <w:rPr>
                <w:rFonts w:ascii="Calibri" w:hAnsi="Calibri"/>
                <w:sz w:val="22"/>
              </w:rPr>
              <w:t>Op. EPS</w:t>
            </w:r>
          </w:p>
        </w:tc>
        <w:tc>
          <w:tcPr>
            <w:tcW w:type="dxa" w:w="1440"/>
          </w:tcPr>
          <w:p>
            <w:r>
              <w:rPr>
                <w:rFonts w:ascii="Calibri" w:hAnsi="Calibri"/>
                <w:sz w:val="22"/>
              </w:rPr>
              <w:t>$1.27</w:t>
            </w:r>
          </w:p>
        </w:tc>
        <w:tc>
          <w:tcPr>
            <w:tcW w:type="dxa" w:w="1440"/>
          </w:tcPr>
          <w:p>
            <w:r>
              <w:rPr>
                <w:rFonts w:ascii="Calibri" w:hAnsi="Calibri"/>
                <w:sz w:val="22"/>
              </w:rPr>
              <w:t>$1.18</w:t>
            </w:r>
          </w:p>
        </w:tc>
        <w:tc>
          <w:tcPr>
            <w:tcW w:type="dxa" w:w="1440"/>
          </w:tcPr>
          <w:p>
            <w:r>
              <w:rPr>
                <w:rFonts w:ascii="Calibri" w:hAnsi="Calibri"/>
                <w:b/>
                <w:color w:val="30A46C"/>
                <w:sz w:val="22"/>
              </w:rPr>
              <w:t>+7.6%</w:t>
            </w:r>
          </w:p>
        </w:tc>
        <w:tc>
          <w:tcPr>
            <w:tcW w:type="dxa" w:w="1440"/>
          </w:tcPr>
          <w:p>
            <w:r>
              <w:rPr>
                <w:rFonts w:ascii="Calibri" w:hAnsi="Calibri"/>
                <w:sz w:val="22"/>
              </w:rPr>
              <w:t>Beat</w:t>
            </w:r>
          </w:p>
        </w:tc>
      </w:tr>
      <w:tr>
        <w:tc>
          <w:tcPr>
            <w:tcW w:type="dxa" w:w="1440"/>
          </w:tcPr>
          <w:p>
            <w:r>
              <w:rPr>
                <w:rFonts w:ascii="Calibri" w:hAnsi="Calibri"/>
                <w:sz w:val="22"/>
              </w:rPr>
              <w:t>Q1 FY2026 (Sep-25)</w:t>
            </w:r>
          </w:p>
        </w:tc>
        <w:tc>
          <w:tcPr>
            <w:tcW w:type="dxa" w:w="1440"/>
          </w:tcPr>
          <w:p>
            <w:r>
              <w:rPr>
                <w:rFonts w:ascii="Calibri" w:hAnsi="Calibri"/>
                <w:sz w:val="22"/>
              </w:rPr>
              <w:t>Revenue</w:t>
            </w:r>
          </w:p>
        </w:tc>
        <w:tc>
          <w:tcPr>
            <w:tcW w:type="dxa" w:w="1440"/>
          </w:tcPr>
          <w:p>
            <w:r>
              <w:rPr>
                <w:rFonts w:ascii="Calibri" w:hAnsi="Calibri"/>
                <w:sz w:val="22"/>
              </w:rPr>
              <w:t>$5.32B</w:t>
            </w:r>
          </w:p>
        </w:tc>
        <w:tc>
          <w:tcPr>
            <w:tcW w:type="dxa" w:w="1440"/>
          </w:tcPr>
          <w:p>
            <w:r>
              <w:rPr>
                <w:rFonts w:ascii="Calibri" w:hAnsi="Calibri"/>
                <w:sz w:val="22"/>
              </w:rPr>
              <w:t>$5.24B</w:t>
            </w:r>
          </w:p>
        </w:tc>
        <w:tc>
          <w:tcPr>
            <w:tcW w:type="dxa" w:w="1440"/>
          </w:tcPr>
          <w:p>
            <w:r>
              <w:rPr>
                <w:rFonts w:ascii="Calibri" w:hAnsi="Calibri"/>
                <w:b/>
                <w:color w:val="30A46C"/>
                <w:sz w:val="22"/>
              </w:rPr>
              <w:t>+1.5%</w:t>
            </w:r>
          </w:p>
        </w:tc>
        <w:tc>
          <w:tcPr>
            <w:tcW w:type="dxa" w:w="1440"/>
          </w:tcPr>
          <w:p>
            <w:r>
              <w:rPr>
                <w:rFonts w:ascii="Calibri" w:hAnsi="Calibri"/>
                <w:sz w:val="22"/>
              </w:rPr>
              <w:t>Beat</w:t>
            </w:r>
          </w:p>
        </w:tc>
      </w:tr>
      <w:tr>
        <w:tc>
          <w:tcPr>
            <w:tcW w:type="dxa" w:w="1440"/>
          </w:tcPr>
          <w:p>
            <w:r>
              <w:rPr>
                <w:rFonts w:ascii="Calibri" w:hAnsi="Calibri"/>
                <w:sz w:val="22"/>
              </w:rPr>
              <w:t>Q1 FY2026 (Sep-25)</w:t>
            </w:r>
          </w:p>
        </w:tc>
        <w:tc>
          <w:tcPr>
            <w:tcW w:type="dxa" w:w="1440"/>
          </w:tcPr>
          <w:p>
            <w:r>
              <w:rPr>
                <w:rFonts w:ascii="Calibri" w:hAnsi="Calibri"/>
                <w:sz w:val="22"/>
              </w:rPr>
              <w:t>Op. EPS</w:t>
            </w:r>
          </w:p>
        </w:tc>
        <w:tc>
          <w:tcPr>
            <w:tcW w:type="dxa" w:w="1440"/>
          </w:tcPr>
          <w:p>
            <w:r>
              <w:rPr>
                <w:rFonts w:ascii="Calibri" w:hAnsi="Calibri"/>
                <w:sz w:val="22"/>
              </w:rPr>
              <w:t>$1.26</w:t>
            </w:r>
          </w:p>
        </w:tc>
        <w:tc>
          <w:tcPr>
            <w:tcW w:type="dxa" w:w="1440"/>
          </w:tcPr>
          <w:p>
            <w:r>
              <w:rPr>
                <w:rFonts w:ascii="Calibri" w:hAnsi="Calibri"/>
                <w:sz w:val="22"/>
              </w:rPr>
              <w:t>$1.23</w:t>
            </w:r>
          </w:p>
        </w:tc>
        <w:tc>
          <w:tcPr>
            <w:tcW w:type="dxa" w:w="1440"/>
          </w:tcPr>
          <w:p>
            <w:r>
              <w:rPr>
                <w:rFonts w:ascii="Calibri" w:hAnsi="Calibri"/>
                <w:b/>
                <w:color w:val="30A46C"/>
                <w:sz w:val="22"/>
              </w:rPr>
              <w:t>+2.4%</w:t>
            </w:r>
          </w:p>
        </w:tc>
        <w:tc>
          <w:tcPr>
            <w:tcW w:type="dxa" w:w="1440"/>
          </w:tcPr>
          <w:p>
            <w:r>
              <w:rPr>
                <w:rFonts w:ascii="Calibri" w:hAnsi="Calibri"/>
                <w:sz w:val="22"/>
              </w:rPr>
              <w:t>Beat</w:t>
            </w:r>
          </w:p>
        </w:tc>
      </w:tr>
      <w:tr>
        <w:tc>
          <w:tcPr>
            <w:tcW w:type="dxa" w:w="1440"/>
          </w:tcPr>
          <w:p>
            <w:r>
              <w:rPr>
                <w:rFonts w:ascii="Calibri" w:hAnsi="Calibri"/>
                <w:sz w:val="22"/>
              </w:rPr>
              <w:t>Q4 FY2025 (Jun-25)</w:t>
            </w:r>
          </w:p>
        </w:tc>
        <w:tc>
          <w:tcPr>
            <w:tcW w:type="dxa" w:w="1440"/>
          </w:tcPr>
          <w:p>
            <w:r>
              <w:rPr>
                <w:rFonts w:ascii="Calibri" w:hAnsi="Calibri"/>
                <w:sz w:val="22"/>
              </w:rPr>
              <w:t>Revenue</w:t>
            </w:r>
          </w:p>
        </w:tc>
        <w:tc>
          <w:tcPr>
            <w:tcW w:type="dxa" w:w="1440"/>
          </w:tcPr>
          <w:p>
            <w:r>
              <w:rPr>
                <w:rFonts w:ascii="Calibri" w:hAnsi="Calibri"/>
                <w:sz w:val="22"/>
              </w:rPr>
              <w:t>$5.17B</w:t>
            </w:r>
          </w:p>
        </w:tc>
        <w:tc>
          <w:tcPr>
            <w:tcW w:type="dxa" w:w="1440"/>
          </w:tcPr>
          <w:p>
            <w:r>
              <w:rPr>
                <w:rFonts w:ascii="Calibri" w:hAnsi="Calibri"/>
                <w:sz w:val="22"/>
              </w:rPr>
              <w:t>$5.01B</w:t>
            </w:r>
          </w:p>
        </w:tc>
        <w:tc>
          <w:tcPr>
            <w:tcW w:type="dxa" w:w="1440"/>
          </w:tcPr>
          <w:p>
            <w:r>
              <w:rPr>
                <w:rFonts w:ascii="Calibri" w:hAnsi="Calibri"/>
                <w:b/>
                <w:color w:val="30A46C"/>
                <w:sz w:val="22"/>
              </w:rPr>
              <w:t>+3.2%</w:t>
            </w:r>
          </w:p>
        </w:tc>
        <w:tc>
          <w:tcPr>
            <w:tcW w:type="dxa" w:w="1440"/>
          </w:tcPr>
          <w:p>
            <w:r>
              <w:rPr>
                <w:rFonts w:ascii="Calibri" w:hAnsi="Calibri"/>
                <w:sz w:val="22"/>
              </w:rPr>
              <w:t>Beat</w:t>
            </w:r>
          </w:p>
        </w:tc>
      </w:tr>
      <w:tr>
        <w:tc>
          <w:tcPr>
            <w:tcW w:type="dxa" w:w="1440"/>
          </w:tcPr>
          <w:p>
            <w:r>
              <w:rPr>
                <w:rFonts w:ascii="Calibri" w:hAnsi="Calibri"/>
                <w:sz w:val="22"/>
              </w:rPr>
              <w:t>Q4 FY2025 (Jun-25)</w:t>
            </w:r>
          </w:p>
        </w:tc>
        <w:tc>
          <w:tcPr>
            <w:tcW w:type="dxa" w:w="1440"/>
          </w:tcPr>
          <w:p>
            <w:r>
              <w:rPr>
                <w:rFonts w:ascii="Calibri" w:hAnsi="Calibri"/>
                <w:sz w:val="22"/>
              </w:rPr>
              <w:t>Op. EPS</w:t>
            </w:r>
          </w:p>
        </w:tc>
        <w:tc>
          <w:tcPr>
            <w:tcW w:type="dxa" w:w="1440"/>
          </w:tcPr>
          <w:p>
            <w:r>
              <w:rPr>
                <w:rFonts w:ascii="Calibri" w:hAnsi="Calibri"/>
                <w:sz w:val="22"/>
              </w:rPr>
              <w:t>$1.33</w:t>
            </w:r>
          </w:p>
        </w:tc>
        <w:tc>
          <w:tcPr>
            <w:tcW w:type="dxa" w:w="1440"/>
          </w:tcPr>
          <w:p>
            <w:r>
              <w:rPr>
                <w:rFonts w:ascii="Calibri" w:hAnsi="Calibri"/>
                <w:sz w:val="22"/>
              </w:rPr>
              <w:t>$1.21</w:t>
            </w:r>
          </w:p>
        </w:tc>
        <w:tc>
          <w:tcPr>
            <w:tcW w:type="dxa" w:w="1440"/>
          </w:tcPr>
          <w:p>
            <w:r>
              <w:rPr>
                <w:rFonts w:ascii="Calibri" w:hAnsi="Calibri"/>
                <w:b/>
                <w:color w:val="30A46C"/>
                <w:sz w:val="22"/>
              </w:rPr>
              <w:t>+9.9%</w:t>
            </w:r>
          </w:p>
        </w:tc>
        <w:tc>
          <w:tcPr>
            <w:tcW w:type="dxa" w:w="1440"/>
          </w:tcPr>
          <w:p>
            <w:r>
              <w:rPr>
                <w:rFonts w:ascii="Calibri" w:hAnsi="Calibri"/>
                <w:sz w:val="22"/>
              </w:rPr>
              <w:t>Beat</w:t>
            </w:r>
          </w:p>
        </w:tc>
      </w:tr>
      <w:tr>
        <w:tc>
          <w:tcPr>
            <w:tcW w:type="dxa" w:w="1440"/>
          </w:tcPr>
          <w:p>
            <w:r>
              <w:rPr>
                <w:rFonts w:ascii="Calibri" w:hAnsi="Calibri"/>
                <w:sz w:val="22"/>
              </w:rPr>
              <w:t>Q3 FY2025 (Mar-25)</w:t>
            </w:r>
          </w:p>
        </w:tc>
        <w:tc>
          <w:tcPr>
            <w:tcW w:type="dxa" w:w="1440"/>
          </w:tcPr>
          <w:p>
            <w:r>
              <w:rPr>
                <w:rFonts w:ascii="Calibri" w:hAnsi="Calibri"/>
                <w:sz w:val="22"/>
              </w:rPr>
              <w:t>Revenue</w:t>
            </w:r>
          </w:p>
        </w:tc>
        <w:tc>
          <w:tcPr>
            <w:tcW w:type="dxa" w:w="1440"/>
          </w:tcPr>
          <w:p>
            <w:r>
              <w:rPr>
                <w:rFonts w:ascii="Calibri" w:hAnsi="Calibri"/>
                <w:sz w:val="22"/>
              </w:rPr>
              <w:t>N/A — not in VA window</w:t>
            </w:r>
          </w:p>
        </w:tc>
        <w:tc>
          <w:tcPr>
            <w:tcW w:type="dxa" w:w="1440"/>
          </w:tcPr>
          <w:p>
            <w:r>
              <w:rPr>
                <w:rFonts w:ascii="Calibri" w:hAnsi="Calibri"/>
                <w:sz w:val="22"/>
              </w:rPr>
              <w:t>N/A</w:t>
            </w:r>
          </w:p>
        </w:tc>
        <w:tc>
          <w:tcPr>
            <w:tcW w:type="dxa" w:w="1440"/>
          </w:tcPr>
          <w:p>
            <w:r>
              <w:rPr>
                <w:rFonts w:ascii="Calibri" w:hAnsi="Calibri"/>
                <w:sz w:val="22"/>
              </w:rPr>
              <w:t>N/A</w:t>
            </w:r>
          </w:p>
        </w:tc>
        <w:tc>
          <w:tcPr>
            <w:tcW w:type="dxa" w:w="1440"/>
          </w:tcPr>
          <w:p>
            <w:r>
              <w:rPr>
                <w:rFonts w:ascii="Calibri" w:hAnsi="Calibri"/>
                <w:sz w:val="22"/>
              </w:rPr>
              <w:t>N/A</w:t>
            </w:r>
          </w:p>
        </w:tc>
      </w:tr>
      <w:tr>
        <w:tc>
          <w:tcPr>
            <w:tcW w:type="dxa" w:w="1440"/>
          </w:tcPr>
          <w:p>
            <w:r>
              <w:rPr>
                <w:rFonts w:ascii="Calibri" w:hAnsi="Calibri"/>
                <w:sz w:val="22"/>
              </w:rPr>
              <w:t>Q3 FY2025 (Mar-25)</w:t>
            </w:r>
          </w:p>
        </w:tc>
        <w:tc>
          <w:tcPr>
            <w:tcW w:type="dxa" w:w="1440"/>
          </w:tcPr>
          <w:p>
            <w:r>
              <w:rPr>
                <w:rFonts w:ascii="Calibri" w:hAnsi="Calibri"/>
                <w:sz w:val="22"/>
              </w:rPr>
              <w:t>Op. EPS</w:t>
            </w:r>
          </w:p>
        </w:tc>
        <w:tc>
          <w:tcPr>
            <w:tcW w:type="dxa" w:w="1440"/>
          </w:tcPr>
          <w:p>
            <w:r>
              <w:rPr>
                <w:rFonts w:ascii="Calibri" w:hAnsi="Calibri"/>
                <w:sz w:val="22"/>
              </w:rPr>
              <w:t>N/A — not in VA window</w:t>
            </w:r>
          </w:p>
        </w:tc>
        <w:tc>
          <w:tcPr>
            <w:tcW w:type="dxa" w:w="1440"/>
          </w:tcPr>
          <w:p>
            <w:r>
              <w:rPr>
                <w:rFonts w:ascii="Calibri" w:hAnsi="Calibri"/>
                <w:sz w:val="22"/>
              </w:rPr>
              <w:t>N/A</w:t>
            </w:r>
          </w:p>
        </w:tc>
        <w:tc>
          <w:tcPr>
            <w:tcW w:type="dxa" w:w="1440"/>
          </w:tcPr>
          <w:p>
            <w:r>
              <w:rPr>
                <w:rFonts w:ascii="Calibri" w:hAnsi="Calibri"/>
                <w:sz w:val="22"/>
              </w:rPr>
              <w:t>N/A</w:t>
            </w:r>
          </w:p>
        </w:tc>
        <w:tc>
          <w:tcPr>
            <w:tcW w:type="dxa" w:w="1440"/>
          </w:tcPr>
          <w:p>
            <w:r>
              <w:rPr>
                <w:rFonts w:ascii="Calibri" w:hAnsi="Calibri"/>
                <w:sz w:val="22"/>
              </w:rPr>
              <w:t>N/A</w:t>
            </w:r>
          </w:p>
        </w:tc>
      </w:tr>
    </w:tbl>
    <w:p>
      <w:r>
        <w:rPr>
          <w:rFonts w:ascii="Calibri" w:hAnsi="Calibri"/>
          <w:b/>
          <w:color w:val="525866"/>
          <w:sz w:val="22"/>
        </w:rPr>
        <w:t xml:space="preserve">Pattern: </w:t>
      </w:r>
      <w:r>
        <w:rPr>
          <w:rFonts w:ascii="Calibri" w:hAnsi="Calibri"/>
          <w:color w:val="525866"/>
          <w:sz w:val="22"/>
        </w:rPr>
        <w:t>LRCX has beaten consensus on both revenue and operating EPS in every reported quarter in the Visible Alpha window, with EPS beats consistently larger than revenue beats (averaging ~7% on EPS vs. ~2% on revenue), suggesting the company systematically under-guides on profitability. This pattern supports a bias toward an EPS beat in Q4 FY2026.</w:t>
      </w:r>
    </w:p>
    <w:p>
      <w:r>
        <w:rPr>
          <w:rFonts w:ascii="Calibri" w:hAnsi="Calibri"/>
          <w:i/>
          <w:color w:val="525866"/>
          <w:sz w:val="22"/>
        </w:rPr>
        <w:t>Source: Visible Alpha Consensus and Actuals Data.</w:t>
      </w:r>
    </w:p>
    <w:p>
      <w:r>
        <w:br w:type="page"/>
      </w:r>
    </w:p>
    <w:p>
      <w:r>
        <w:br w:type="page"/>
      </w:r>
    </w:p>
    <w:p>
      <w:pPr>
        <w:pStyle w:val="Heading2"/>
      </w:pPr>
      <w:r>
        <w:rPr>
          <w:rFonts w:ascii="Calibri" w:hAnsi="Calibri"/>
          <w:b/>
          <w:color w:val="3B4259"/>
          <w:sz w:val="28"/>
        </w:rPr>
        <w:t>4. Guidance vs. Estimate Revision Tracker</w:t>
      </w:r>
    </w:p>
    <w:p>
      <w:r>
        <w:rPr>
          <w:rFonts w:ascii="Calibri" w:hAnsi="Calibri"/>
          <w:b/>
          <w:color w:val="525866"/>
          <w:sz w:val="22"/>
        </w:rPr>
        <w:t xml:space="preserve">Key Takeaway: </w:t>
      </w:r>
      <w:r>
        <w:rPr>
          <w:rFonts w:ascii="Calibri" w:hAnsi="Calibri"/>
          <w:color w:val="525866"/>
          <w:sz w:val="22"/>
        </w:rPr>
        <w:t>Estimates have moved sharply higher since the April 22 print — Q4 FY2026 revenue consensus is up ~$40M and EPS up ~$0.02 from the post-earnings baseline — tracking guidance closely with a slight upward bias, consistent with the market pricing in a modest beat; FY2027 estimates have also been revised up meaningfully, reflecting the raised WFE outlook and accelerating AI demand narrative.</w:t>
      </w:r>
    </w:p>
    <w:tbl>
      <w:tblPr>
        <w:tblStyle w:val="TableGrid"/>
        <w:tblW w:type="auto" w:w="0"/>
        <w:tblLook w:firstColumn="1" w:firstRow="1" w:lastColumn="0" w:lastRow="0" w:noHBand="0" w:noVBand="1" w:val="04A0"/>
      </w:tblPr>
      <w:tblGrid>
        <w:gridCol w:w="1080"/>
        <w:gridCol w:w="1080"/>
        <w:gridCol w:w="1080"/>
        <w:gridCol w:w="1080"/>
        <w:gridCol w:w="1080"/>
        <w:gridCol w:w="1080"/>
        <w:gridCol w:w="1080"/>
        <w:gridCol w:w="1080"/>
      </w:tblGrid>
      <w:tr>
        <w:tc>
          <w:tcPr>
            <w:tcW w:type="dxa" w:w="1080"/>
            <w:shd w:val="clear" w:color="auto" w:fill="3B4259"/>
          </w:tcPr>
          <w:p>
            <w:r>
              <w:rPr>
                <w:rFonts w:ascii="Calibri" w:hAnsi="Calibri"/>
                <w:b/>
                <w:color w:val="FFFFFF"/>
                <w:sz w:val="22"/>
              </w:rPr>
              <w:t>KPI (Period)</w:t>
            </w:r>
          </w:p>
        </w:tc>
        <w:tc>
          <w:tcPr>
            <w:tcW w:type="dxa" w:w="1080"/>
            <w:shd w:val="clear" w:color="auto" w:fill="3B4259"/>
          </w:tcPr>
          <w:p>
            <w:r>
              <w:rPr>
                <w:rFonts w:ascii="Calibri" w:hAnsi="Calibri"/>
                <w:b/>
                <w:color w:val="FFFFFF"/>
                <w:sz w:val="22"/>
              </w:rPr>
              <w:t>Estimate ~Apr 28, 2026 (Post-Print Baseline)</w:t>
            </w:r>
          </w:p>
        </w:tc>
        <w:tc>
          <w:tcPr>
            <w:tcW w:type="dxa" w:w="1080"/>
            <w:shd w:val="clear" w:color="auto" w:fill="3B4259"/>
          </w:tcPr>
          <w:p>
            <w:r>
              <w:rPr>
                <w:rFonts w:ascii="Calibri" w:hAnsi="Calibri"/>
                <w:b/>
                <w:color w:val="FFFFFF"/>
                <w:sz w:val="22"/>
              </w:rPr>
              <w:t>Current Consensus</w:t>
            </w:r>
          </w:p>
        </w:tc>
        <w:tc>
          <w:tcPr>
            <w:tcW w:type="dxa" w:w="1080"/>
            <w:shd w:val="clear" w:color="auto" w:fill="3B4259"/>
          </w:tcPr>
          <w:p>
            <w:r>
              <w:rPr>
                <w:rFonts w:ascii="Calibri" w:hAnsi="Calibri"/>
                <w:b/>
                <w:color w:val="FFFFFF"/>
                <w:sz w:val="22"/>
              </w:rPr>
              <w:t>Estimate Δ (%)</w:t>
            </w:r>
          </w:p>
        </w:tc>
        <w:tc>
          <w:tcPr>
            <w:tcW w:type="dxa" w:w="1080"/>
            <w:shd w:val="clear" w:color="auto" w:fill="3B4259"/>
          </w:tcPr>
          <w:p>
            <w:r>
              <w:rPr>
                <w:rFonts w:ascii="Calibri" w:hAnsi="Calibri"/>
                <w:b/>
                <w:color w:val="FFFFFF"/>
                <w:sz w:val="22"/>
              </w:rPr>
              <w:t>Initial Guidance (Apr 22 Call)</w:t>
            </w:r>
          </w:p>
        </w:tc>
        <w:tc>
          <w:tcPr>
            <w:tcW w:type="dxa" w:w="1080"/>
            <w:shd w:val="clear" w:color="auto" w:fill="3B4259"/>
          </w:tcPr>
          <w:p>
            <w:r>
              <w:rPr>
                <w:rFonts w:ascii="Calibri" w:hAnsi="Calibri"/>
                <w:b/>
                <w:color w:val="FFFFFF"/>
                <w:sz w:val="22"/>
              </w:rPr>
              <w:t>Current Guidance</w:t>
            </w:r>
          </w:p>
        </w:tc>
        <w:tc>
          <w:tcPr>
            <w:tcW w:type="dxa" w:w="1080"/>
            <w:shd w:val="clear" w:color="auto" w:fill="3B4259"/>
          </w:tcPr>
          <w:p>
            <w:r>
              <w:rPr>
                <w:rFonts w:ascii="Calibri" w:hAnsi="Calibri"/>
                <w:b/>
                <w:color w:val="FFFFFF"/>
                <w:sz w:val="22"/>
              </w:rPr>
              <w:t>Guidance Δ</w:t>
            </w:r>
          </w:p>
        </w:tc>
        <w:tc>
          <w:tcPr>
            <w:tcW w:type="dxa" w:w="1080"/>
            <w:shd w:val="clear" w:color="auto" w:fill="3B4259"/>
          </w:tcPr>
          <w:p>
            <w:r>
              <w:rPr>
                <w:rFonts w:ascii="Calibri" w:hAnsi="Calibri"/>
                <w:b/>
                <w:color w:val="FFFFFF"/>
                <w:sz w:val="22"/>
              </w:rPr>
              <w:t>Consensus vs. Guidance (%)</w:t>
            </w:r>
          </w:p>
        </w:tc>
      </w:tr>
      <w:tr>
        <w:tc>
          <w:tcPr>
            <w:tcW w:type="dxa" w:w="1080"/>
          </w:tcPr>
          <w:p>
            <w:r>
              <w:rPr>
                <w:rFonts w:ascii="Calibri" w:hAnsi="Calibri"/>
                <w:sz w:val="22"/>
              </w:rPr>
              <w:t>Revenue — Q4 FY2026</w:t>
            </w:r>
          </w:p>
        </w:tc>
        <w:tc>
          <w:tcPr>
            <w:tcW w:type="dxa" w:w="1080"/>
          </w:tcPr>
          <w:p>
            <w:r>
              <w:rPr>
                <w:rFonts w:ascii="Calibri" w:hAnsi="Calibri"/>
                <w:sz w:val="22"/>
              </w:rPr>
              <w:t>$6.654B</w:t>
            </w:r>
          </w:p>
        </w:tc>
        <w:tc>
          <w:tcPr>
            <w:tcW w:type="dxa" w:w="1080"/>
          </w:tcPr>
          <w:p>
            <w:r>
              <w:rPr>
                <w:rFonts w:ascii="Calibri" w:hAnsi="Calibri"/>
                <w:sz w:val="22"/>
              </w:rPr>
              <w:t>$6.690B</w:t>
            </w:r>
          </w:p>
        </w:tc>
        <w:tc>
          <w:tcPr>
            <w:tcW w:type="dxa" w:w="1080"/>
          </w:tcPr>
          <w:p>
            <w:r>
              <w:rPr>
                <w:rFonts w:ascii="Calibri" w:hAnsi="Calibri"/>
                <w:b/>
                <w:color w:val="30A46C"/>
                <w:sz w:val="22"/>
              </w:rPr>
              <w:t>+0.5%</w:t>
            </w:r>
          </w:p>
        </w:tc>
        <w:tc>
          <w:tcPr>
            <w:tcW w:type="dxa" w:w="1080"/>
          </w:tcPr>
          <w:p>
            <w:r>
              <w:rPr>
                <w:rFonts w:ascii="Calibri" w:hAnsi="Calibri"/>
                <w:sz w:val="22"/>
              </w:rPr>
              <w:t>$6.60B (±$400M)</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+1.4%</w:t>
            </w:r>
          </w:p>
        </w:tc>
      </w:tr>
      <w:tr>
        <w:tc>
          <w:tcPr>
            <w:tcW w:type="dxa" w:w="1080"/>
          </w:tcPr>
          <w:p>
            <w:r>
              <w:rPr>
                <w:rFonts w:ascii="Calibri" w:hAnsi="Calibri"/>
                <w:sz w:val="22"/>
              </w:rPr>
              <w:t>Op. EPS — Q4 FY2026</w:t>
            </w:r>
          </w:p>
        </w:tc>
        <w:tc>
          <w:tcPr>
            <w:tcW w:type="dxa" w:w="1080"/>
          </w:tcPr>
          <w:p>
            <w:r>
              <w:rPr>
                <w:rFonts w:ascii="Calibri" w:hAnsi="Calibri"/>
                <w:sz w:val="22"/>
              </w:rPr>
              <w:t>$1.684</w:t>
            </w:r>
          </w:p>
        </w:tc>
        <w:tc>
          <w:tcPr>
            <w:tcW w:type="dxa" w:w="1080"/>
          </w:tcPr>
          <w:p>
            <w:r>
              <w:rPr>
                <w:rFonts w:ascii="Calibri" w:hAnsi="Calibri"/>
                <w:sz w:val="22"/>
              </w:rPr>
              <w:t>$1.697</w:t>
            </w:r>
          </w:p>
        </w:tc>
        <w:tc>
          <w:tcPr>
            <w:tcW w:type="dxa" w:w="1080"/>
          </w:tcPr>
          <w:p>
            <w:r>
              <w:rPr>
                <w:rFonts w:ascii="Calibri" w:hAnsi="Calibri"/>
                <w:b/>
                <w:color w:val="30A46C"/>
                <w:sz w:val="22"/>
              </w:rPr>
              <w:t>+0.8%</w:t>
            </w:r>
          </w:p>
        </w:tc>
        <w:tc>
          <w:tcPr>
            <w:tcW w:type="dxa" w:w="1080"/>
          </w:tcPr>
          <w:p>
            <w:r>
              <w:rPr>
                <w:rFonts w:ascii="Calibri" w:hAnsi="Calibri"/>
                <w:sz w:val="22"/>
              </w:rPr>
              <w:t>$1.65 (±$0.15)</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+2.8%</w:t>
            </w:r>
          </w:p>
        </w:tc>
      </w:tr>
      <w:tr>
        <w:tc>
          <w:tcPr>
            <w:tcW w:type="dxa" w:w="1080"/>
          </w:tcPr>
          <w:p>
            <w:r>
              <w:rPr>
                <w:rFonts w:ascii="Calibri" w:hAnsi="Calibri"/>
                <w:sz w:val="22"/>
              </w:rPr>
              <w:t>Revenue — FY2026</w:t>
            </w:r>
          </w:p>
        </w:tc>
        <w:tc>
          <w:tcPr>
            <w:tcW w:type="dxa" w:w="1080"/>
          </w:tcPr>
          <w:p>
            <w:r>
              <w:rPr>
                <w:rFonts w:ascii="Calibri" w:hAnsi="Calibri"/>
                <w:sz w:val="22"/>
              </w:rPr>
              <w:t>$23.165B</w:t>
            </w:r>
          </w:p>
        </w:tc>
        <w:tc>
          <w:tcPr>
            <w:tcW w:type="dxa" w:w="1080"/>
          </w:tcPr>
          <w:p>
            <w:r>
              <w:rPr>
                <w:rFonts w:ascii="Calibri" w:hAnsi="Calibri"/>
                <w:sz w:val="22"/>
              </w:rPr>
              <w:t>$23.200B</w:t>
            </w:r>
          </w:p>
        </w:tc>
        <w:tc>
          <w:tcPr>
            <w:tcW w:type="dxa" w:w="1080"/>
          </w:tcPr>
          <w:p>
            <w:r>
              <w:rPr>
                <w:rFonts w:ascii="Calibri" w:hAnsi="Calibri"/>
                <w:b/>
                <w:color w:val="30A46C"/>
                <w:sz w:val="22"/>
              </w:rPr>
              <w:t>+0.2%</w:t>
            </w:r>
          </w:p>
        </w:tc>
        <w:tc>
          <w:tcPr>
            <w:tcW w:type="dxa" w:w="1080"/>
          </w:tcPr>
          <w:p>
            <w:r>
              <w:rPr>
                <w:rFonts w:ascii="Calibri" w:hAnsi="Calibri"/>
                <w:sz w:val="22"/>
              </w:rPr>
              <w:t>N/A (FY not guided)</w:t>
            </w:r>
          </w:p>
        </w:tc>
        <w:tc>
          <w:tcPr>
            <w:tcW w:type="dxa" w:w="1080"/>
          </w:tcPr>
          <w:p>
            <w:r>
              <w:rPr>
                <w:rFonts w:ascii="Calibri" w:hAnsi="Calibri"/>
                <w:sz w:val="22"/>
              </w:rPr>
              <w:t>N/A</w:t>
            </w:r>
          </w:p>
        </w:tc>
        <w:tc>
          <w:tcPr>
            <w:tcW w:type="dxa" w:w="1080"/>
          </w:tcPr>
          <w:p>
            <w:r>
              <w:rPr>
                <w:rFonts w:ascii="Calibri" w:hAnsi="Calibri"/>
                <w:sz w:val="22"/>
              </w:rPr>
              <w:t>—</w:t>
            </w:r>
          </w:p>
        </w:tc>
        <w:tc>
          <w:tcPr>
            <w:tcW w:type="dxa" w:w="1080"/>
          </w:tcPr>
          <w:p>
            <w:r>
              <w:rPr>
                <w:rFonts w:ascii="Calibri" w:hAnsi="Calibri"/>
                <w:sz w:val="22"/>
              </w:rPr>
              <w:t>N/A</w:t>
            </w:r>
          </w:p>
        </w:tc>
      </w:tr>
      <w:tr>
        <w:tc>
          <w:tcPr>
            <w:tcW w:type="dxa" w:w="1080"/>
          </w:tcPr>
          <w:p>
            <w:r>
              <w:rPr>
                <w:rFonts w:ascii="Calibri" w:hAnsi="Calibri"/>
                <w:sz w:val="22"/>
              </w:rPr>
              <w:t>Op. EPS — FY2026</w:t>
            </w:r>
          </w:p>
        </w:tc>
        <w:tc>
          <w:tcPr>
            <w:tcW w:type="dxa" w:w="1080"/>
          </w:tcPr>
          <w:p>
            <w:r>
              <w:rPr>
                <w:rFonts w:ascii="Calibri" w:hAnsi="Calibri"/>
                <w:sz w:val="22"/>
              </w:rPr>
              <w:t>$5.685</w:t>
            </w:r>
          </w:p>
        </w:tc>
        <w:tc>
          <w:tcPr>
            <w:tcW w:type="dxa" w:w="1080"/>
          </w:tcPr>
          <w:p>
            <w:r>
              <w:rPr>
                <w:rFonts w:ascii="Calibri" w:hAnsi="Calibri"/>
                <w:sz w:val="22"/>
              </w:rPr>
              <w:t>$5.697</w:t>
            </w:r>
          </w:p>
        </w:tc>
        <w:tc>
          <w:tcPr>
            <w:tcW w:type="dxa" w:w="1080"/>
          </w:tcPr>
          <w:p>
            <w:r>
              <w:rPr>
                <w:rFonts w:ascii="Calibri" w:hAnsi="Calibri"/>
                <w:b/>
                <w:color w:val="30A46C"/>
                <w:sz w:val="22"/>
              </w:rPr>
              <w:t>+0.2%</w:t>
            </w:r>
          </w:p>
        </w:tc>
        <w:tc>
          <w:tcPr>
            <w:tcW w:type="dxa" w:w="1080"/>
          </w:tcPr>
          <w:p>
            <w:r>
              <w:rPr>
                <w:rFonts w:ascii="Calibri" w:hAnsi="Calibri"/>
                <w:sz w:val="22"/>
              </w:rPr>
              <w:t>N/A</w:t>
            </w:r>
          </w:p>
        </w:tc>
        <w:tc>
          <w:tcPr>
            <w:tcW w:type="dxa" w:w="1080"/>
          </w:tcPr>
          <w:p>
            <w:r>
              <w:rPr>
                <w:rFonts w:ascii="Calibri" w:hAnsi="Calibri"/>
                <w:sz w:val="22"/>
              </w:rPr>
              <w:t>N/A</w:t>
            </w:r>
          </w:p>
        </w:tc>
        <w:tc>
          <w:tcPr>
            <w:tcW w:type="dxa" w:w="1080"/>
          </w:tcPr>
          <w:p>
            <w:r>
              <w:rPr>
                <w:rFonts w:ascii="Calibri" w:hAnsi="Calibri"/>
                <w:sz w:val="22"/>
              </w:rPr>
              <w:t>—</w:t>
            </w:r>
          </w:p>
        </w:tc>
        <w:tc>
          <w:tcPr>
            <w:tcW w:type="dxa" w:w="1080"/>
          </w:tcPr>
          <w:p>
            <w:r>
              <w:rPr>
                <w:rFonts w:ascii="Calibri" w:hAnsi="Calibri"/>
                <w:sz w:val="22"/>
              </w:rPr>
              <w:t>N/A</w:t>
            </w:r>
          </w:p>
        </w:tc>
      </w:tr>
      <w:tr>
        <w:tc>
          <w:tcPr>
            <w:tcW w:type="dxa" w:w="1080"/>
          </w:tcPr>
          <w:p>
            <w:r>
              <w:rPr>
                <w:rFonts w:ascii="Calibri" w:hAnsi="Calibri"/>
                <w:sz w:val="22"/>
              </w:rPr>
              <w:t>Revenue — FY2027</w:t>
            </w:r>
          </w:p>
        </w:tc>
        <w:tc>
          <w:tcPr>
            <w:tcW w:type="dxa" w:w="1080"/>
          </w:tcPr>
          <w:p>
            <w:r>
              <w:rPr>
                <w:rFonts w:ascii="Calibri" w:hAnsi="Calibri"/>
                <w:sz w:val="22"/>
              </w:rPr>
              <w:t>$30.280B</w:t>
            </w:r>
          </w:p>
        </w:tc>
        <w:tc>
          <w:tcPr>
            <w:tcW w:type="dxa" w:w="1080"/>
          </w:tcPr>
          <w:p>
            <w:r>
              <w:rPr>
                <w:rFonts w:ascii="Calibri" w:hAnsi="Calibri"/>
                <w:sz w:val="22"/>
              </w:rPr>
              <w:t>$31.084B</w:t>
            </w:r>
          </w:p>
        </w:tc>
        <w:tc>
          <w:tcPr>
            <w:tcW w:type="dxa" w:w="1080"/>
          </w:tcPr>
          <w:p>
            <w:r>
              <w:rPr>
                <w:rFonts w:ascii="Calibri" w:hAnsi="Calibri"/>
                <w:b/>
                <w:color w:val="30A46C"/>
                <w:sz w:val="22"/>
              </w:rPr>
              <w:t>+2.7%</w:t>
            </w:r>
          </w:p>
        </w:tc>
        <w:tc>
          <w:tcPr>
            <w:tcW w:type="dxa" w:w="1080"/>
          </w:tcPr>
          <w:p>
            <w:r>
              <w:rPr>
                <w:rFonts w:ascii="Calibri" w:hAnsi="Calibri"/>
                <w:sz w:val="22"/>
              </w:rPr>
              <w:t>N/A</w:t>
            </w:r>
          </w:p>
        </w:tc>
        <w:tc>
          <w:tcPr>
            <w:tcW w:type="dxa" w:w="1080"/>
          </w:tcPr>
          <w:p>
            <w:r>
              <w:rPr>
                <w:rFonts w:ascii="Calibri" w:hAnsi="Calibri"/>
                <w:sz w:val="22"/>
              </w:rPr>
              <w:t>N/A</w:t>
            </w:r>
          </w:p>
        </w:tc>
        <w:tc>
          <w:tcPr>
            <w:tcW w:type="dxa" w:w="1080"/>
          </w:tcPr>
          <w:p>
            <w:r>
              <w:rPr>
                <w:rFonts w:ascii="Calibri" w:hAnsi="Calibri"/>
                <w:sz w:val="22"/>
              </w:rPr>
              <w:t>—</w:t>
            </w:r>
          </w:p>
        </w:tc>
        <w:tc>
          <w:tcPr>
            <w:tcW w:type="dxa" w:w="1080"/>
          </w:tcPr>
          <w:p>
            <w:r>
              <w:rPr>
                <w:rFonts w:ascii="Calibri" w:hAnsi="Calibri"/>
                <w:sz w:val="22"/>
              </w:rPr>
              <w:t>N/A</w:t>
            </w:r>
          </w:p>
        </w:tc>
      </w:tr>
      <w:tr>
        <w:tc>
          <w:tcPr>
            <w:tcW w:type="dxa" w:w="1080"/>
          </w:tcPr>
          <w:p>
            <w:r>
              <w:rPr>
                <w:rFonts w:ascii="Calibri" w:hAnsi="Calibri"/>
                <w:sz w:val="22"/>
              </w:rPr>
              <w:t>Op. EPS — FY2027</w:t>
            </w:r>
          </w:p>
        </w:tc>
        <w:tc>
          <w:tcPr>
            <w:tcW w:type="dxa" w:w="1080"/>
          </w:tcPr>
          <w:p>
            <w:r>
              <w:rPr>
                <w:rFonts w:ascii="Calibri" w:hAnsi="Calibri"/>
                <w:sz w:val="22"/>
              </w:rPr>
              <w:t>$7.879</w:t>
            </w:r>
          </w:p>
        </w:tc>
        <w:tc>
          <w:tcPr>
            <w:tcW w:type="dxa" w:w="1080"/>
          </w:tcPr>
          <w:p>
            <w:r>
              <w:rPr>
                <w:rFonts w:ascii="Calibri" w:hAnsi="Calibri"/>
                <w:sz w:val="22"/>
              </w:rPr>
              <w:t>$8.165</w:t>
            </w:r>
          </w:p>
        </w:tc>
        <w:tc>
          <w:tcPr>
            <w:tcW w:type="dxa" w:w="1080"/>
          </w:tcPr>
          <w:p>
            <w:r>
              <w:rPr>
                <w:rFonts w:ascii="Calibri" w:hAnsi="Calibri"/>
                <w:b/>
                <w:color w:val="30A46C"/>
                <w:sz w:val="22"/>
              </w:rPr>
              <w:t>+3.6%</w:t>
            </w:r>
          </w:p>
        </w:tc>
        <w:tc>
          <w:tcPr>
            <w:tcW w:type="dxa" w:w="1080"/>
          </w:tcPr>
          <w:p>
            <w:r>
              <w:rPr>
                <w:rFonts w:ascii="Calibri" w:hAnsi="Calibri"/>
                <w:sz w:val="22"/>
              </w:rPr>
              <w:t>N/A</w:t>
            </w:r>
          </w:p>
        </w:tc>
        <w:tc>
          <w:tcPr>
            <w:tcW w:type="dxa" w:w="1080"/>
          </w:tcPr>
          <w:p>
            <w:r>
              <w:rPr>
                <w:rFonts w:ascii="Calibri" w:hAnsi="Calibri"/>
                <w:sz w:val="22"/>
              </w:rPr>
              <w:t>N/A</w:t>
            </w:r>
          </w:p>
        </w:tc>
        <w:tc>
          <w:tcPr>
            <w:tcW w:type="dxa" w:w="1080"/>
          </w:tcPr>
          <w:p>
            <w:r>
              <w:rPr>
                <w:rFonts w:ascii="Calibri" w:hAnsi="Calibri"/>
                <w:sz w:val="22"/>
              </w:rPr>
              <w:t>—</w:t>
            </w:r>
          </w:p>
        </w:tc>
        <w:tc>
          <w:tcPr>
            <w:tcW w:type="dxa" w:w="1080"/>
          </w:tcPr>
          <w:p>
            <w:r>
              <w:rPr>
                <w:rFonts w:ascii="Calibri" w:hAnsi="Calibri"/>
                <w:sz w:val="22"/>
              </w:rPr>
              <w:t>N/A</w:t>
            </w:r>
          </w:p>
        </w:tc>
      </w:tr>
    </w:tbl>
    <w:p>
      <w:r>
        <w:rPr>
          <w:rFonts w:ascii="Calibri" w:hAnsi="Calibri"/>
          <w:color w:val="525866"/>
          <w:sz w:val="22"/>
        </w:rPr>
        <w:t>The most notable revision is in FY2027, where revenue estimates have moved up ~$800M (+2.7%) and EPS up ~$0.29 (+3.6%) since the April print, reflecting the market’s growing conviction in the multi-year WFE growth cycle. Near-term Q4 estimates are essentially locked in at guidance-plus, consistent with LRCX’s historical pattern of conservative guidance. The key question for this print is whether management provides a 2027 WFE framework that justifies — or exceeds — the Street’s current $31B FY2027 revenue estimate.</w:t>
      </w:r>
    </w:p>
    <w:p>
      <w:r>
        <w:rPr>
          <w:rFonts w:ascii="Calibri" w:hAnsi="Calibri"/>
          <w:i/>
          <w:color w:val="525866"/>
          <w:sz w:val="22"/>
        </w:rPr>
        <w:t>Source: Visible Alpha Consensus and Actuals Data (as-of date: April 28, 2026 for baseline; latest for current consensus).</w:t>
      </w:r>
    </w:p>
    <w:p>
      <w:r>
        <w:br w:type="page"/>
      </w:r>
    </w:p>
    <w:p>
      <w:pPr>
        <w:pStyle w:val="Heading2"/>
      </w:pPr>
      <w:r>
        <w:rPr>
          <w:rFonts w:ascii="Calibri" w:hAnsi="Calibri"/>
          <w:b/>
          <w:color w:val="3B4259"/>
          <w:sz w:val="28"/>
        </w:rPr>
        <w:t>5. Stock Performance</w:t>
      </w:r>
    </w:p>
    <w:p>
      <w:r>
        <w:rPr>
          <w:rFonts w:ascii="Calibri" w:hAnsi="Calibri"/>
          <w:b/>
          <w:color w:val="525866"/>
          <w:sz w:val="22"/>
        </w:rPr>
        <w:t xml:space="preserve">Key Takeaway: </w:t>
      </w:r>
      <w:r>
        <w:rPr>
          <w:rFonts w:ascii="Calibri" w:hAnsi="Calibri"/>
          <w:color w:val="525866"/>
          <w:sz w:val="22"/>
        </w:rPr>
        <w:t>LRCX has dramatically underperformed the SOXX since the April 22 earnings date (+1.5% vs. +13.8% for SOXX and +4.2% for S&amp;P 500), driven by a sharp reversal from a June 30 peak of $433 to ~$270 today — a 38% drawdown that reflects China revenue normalization fears and multiple compression rather than any deterioration in the fundamental growth story, creating a potentially attractive setup if management delivers a strong 2027 framework.</w:t>
      </w:r>
    </w:p>
    <w:p>
      <w:r>
        <w:drawing>
          <wp:inline xmlns:a="http://schemas.openxmlformats.org/drawingml/2006/main" xmlns:pic="http://schemas.openxmlformats.org/drawingml/2006/picture">
            <wp:extent cx="5943600" cy="4245429"/>
            <wp:docPr id="1" name="Picture 1"/>
            <wp:cNvGraphicFramePr>
              <a:graphicFrameLocks noChangeAspect="1"/>
            </wp:cNvGraphicFramePr>
            <a:graphic>
              <a:graphicData uri="http://schemas.openxmlformats.org/drawingml/2006/picture">
                <pic:pic>
                  <pic:nvPicPr>
                    <pic:cNvPr id="0" name="image.png"/>
                    <pic:cNvPicPr/>
                  </pic:nvPicPr>
                  <pic:blipFill>
                    <a:blip r:embed="rId9"/>
                    <a:stretch>
                      <a:fillRect/>
                    </a:stretch>
                  </pic:blipFill>
                  <pic:spPr>
                    <a:xfrm>
                      <a:off x="0" y="0"/>
                      <a:ext cx="5943600" cy="4245429"/>
                    </a:xfrm>
                    <a:prstGeom prst="rect"/>
                  </pic:spPr>
                </pic:pic>
              </a:graphicData>
            </a:graphic>
          </wp:inline>
        </w:drawing>
      </w:r>
    </w:p>
    <w:p>
      <w:pPr>
        <w:jc w:val="center"/>
      </w:pPr>
      <w:r>
        <w:rPr>
          <w:i/>
          <w:color w:val="666666"/>
          <w:sz w:val="18"/>
        </w:rPr>
        <w:t>LRCX vs. SOXX vs. S&amp;P 500 — Indexed to 100 at April 22, 2026 (Last Earnings Date). Source: Stock Price Data (Yahoo Finance).</w:t>
      </w:r>
    </w:p>
    <w:p>
      <w:r>
        <w:rPr>
          <w:rFonts w:ascii="Calibri" w:hAnsi="Calibri"/>
          <w:b/>
          <w:color w:val="525866"/>
          <w:sz w:val="22"/>
        </w:rPr>
        <w:t xml:space="preserve">Sector ETF used: </w:t>
      </w:r>
      <w:r>
        <w:rPr>
          <w:rFonts w:ascii="Calibri" w:hAnsi="Calibri"/>
          <w:color w:val="525866"/>
          <w:sz w:val="22"/>
        </w:rPr>
        <w:t>SOXX (iShares Semiconductor ETF) — appropriate for LRCX’s semiconductor equipment sub-sector.</w:t>
      </w:r>
    </w:p>
    <w:p>
      <w:r>
        <w:rPr>
          <w:rFonts w:ascii="Calibri" w:hAnsi="Calibri"/>
          <w:color w:val="525866"/>
          <w:sz w:val="22"/>
        </w:rPr>
        <w:t>Key events during the period:</w:t>
      </w:r>
    </w:p>
    <w:p>
      <w:pPr>
        <w:pStyle w:val="ListBullet"/>
        <w:ind w:left="360" w:hanging="360"/>
      </w:pPr>
      <w:r>
        <w:rPr>
          <w:rFonts w:ascii="Calibri" w:hAnsi="Calibri"/>
          <w:b/>
          <w:color w:val="525866"/>
          <w:sz w:val="22"/>
        </w:rPr>
        <w:t>April 22, 2026:</w:t>
      </w:r>
      <w:r>
        <w:rPr>
          <w:rFonts w:ascii="Calibri" w:hAnsi="Calibri"/>
          <w:color w:val="525866"/>
          <w:sz w:val="22"/>
        </w:rPr>
        <w:t xml:space="preserve"> LRCX Q3 FY2026 earnings beat; stock +~4% after-hours. June quarter guidance well above Street; WFE raised to $140B.</w:t>
      </w:r>
    </w:p>
    <w:p>
      <w:pPr>
        <w:pStyle w:val="ListBullet"/>
        <w:ind w:left="360" w:hanging="360"/>
      </w:pPr>
      <w:r>
        <w:rPr>
          <w:rFonts w:ascii="Calibri" w:hAnsi="Calibri"/>
          <w:b/>
          <w:color w:val="525866"/>
          <w:sz w:val="22"/>
        </w:rPr>
        <w:t>May 5–6, 2026:</w:t>
      </w:r>
      <w:r>
        <w:rPr>
          <w:rFonts w:ascii="Calibri" w:hAnsi="Calibri"/>
          <w:color w:val="525866"/>
          <w:sz w:val="22"/>
        </w:rPr>
        <w:t xml:space="preserve"> Broad semis rally (SOXX +10% in two days); LRCX participated, rising from ~$257 to ~$297.</w:t>
      </w:r>
    </w:p>
    <w:p>
      <w:pPr>
        <w:pStyle w:val="ListBullet"/>
        <w:ind w:left="360" w:hanging="360"/>
      </w:pPr>
      <w:r>
        <w:rPr>
          <w:rFonts w:ascii="Calibri" w:hAnsi="Calibri"/>
          <w:b/>
          <w:color w:val="525866"/>
          <w:sz w:val="22"/>
        </w:rPr>
        <w:t>June 11–June 30, 2026:</w:t>
      </w:r>
      <w:r>
        <w:rPr>
          <w:rFonts w:ascii="Calibri" w:hAnsi="Calibri"/>
          <w:color w:val="525866"/>
          <w:sz w:val="22"/>
        </w:rPr>
        <w:t xml:space="preserve"> LRCX surged from ~$362 to a peak of $433 — a 20% move in ~3 weeks — driven by sector momentum and AI infrastructure spending optimism.</w:t>
      </w:r>
    </w:p>
    <w:p>
      <w:pPr>
        <w:pStyle w:val="ListBullet"/>
        <w:ind w:left="360" w:hanging="360"/>
      </w:pPr>
      <w:r>
        <w:rPr>
          <w:rFonts w:ascii="Calibri" w:hAnsi="Calibri"/>
          <w:b/>
          <w:color w:val="525866"/>
          <w:sz w:val="22"/>
        </w:rPr>
        <w:t>July 1–July 28, 2026:</w:t>
      </w:r>
      <w:r>
        <w:rPr>
          <w:rFonts w:ascii="Calibri" w:hAnsi="Calibri"/>
          <w:color w:val="525866"/>
          <w:sz w:val="22"/>
        </w:rPr>
        <w:t xml:space="preserve"> Sharp reversal; LRCX fell from $433 to ~$270 (-38%), significantly underperforming SOXX. Likely driven by China export control concerns, profit-taking at elevated multiples, and KLAC’s July 28 earnings (which may have reset WFE expectations higher but also flagged China competition noise).</w:t>
      </w:r>
    </w:p>
    <w:p>
      <w:r>
        <w:rPr>
          <w:rFonts w:ascii="Calibri" w:hAnsi="Calibri"/>
          <w:i/>
          <w:color w:val="525866"/>
          <w:sz w:val="22"/>
        </w:rPr>
        <w:t>Source: Stock Price Data (Yahoo Finance).</w:t>
      </w:r>
    </w:p>
    <w:p>
      <w:r>
        <w:br w:type="page"/>
      </w:r>
    </w:p>
    <w:p>
      <w:pPr>
        <w:pStyle w:val="Heading2"/>
      </w:pPr>
      <w:r>
        <w:rPr>
          <w:rFonts w:ascii="Calibri" w:hAnsi="Calibri"/>
          <w:b/>
          <w:color w:val="3B4259"/>
          <w:sz w:val="28"/>
        </w:rPr>
        <w:t>6. Peer Commentaries — Read-Through for Q4 FY2026 (June Quarter)</w:t>
      </w:r>
    </w:p>
    <w:p>
      <w:r>
        <w:rPr>
          <w:rFonts w:ascii="Calibri" w:hAnsi="Calibri"/>
          <w:b/>
          <w:color w:val="525866"/>
          <w:sz w:val="22"/>
        </w:rPr>
        <w:t xml:space="preserve">Key Takeaway: </w:t>
      </w:r>
      <w:r>
        <w:rPr>
          <w:rFonts w:ascii="Calibri" w:hAnsi="Calibri"/>
          <w:color w:val="525866"/>
          <w:sz w:val="22"/>
        </w:rPr>
        <w:t>All three major peers — KLAC (reported July 28), ASML (reported July 15), and AMAT (reported May 14) — delivered unambiguously bullish read-throughs for LRCX’s June quarter and beyond: WFE has been revised up to the low-$150B range (KLAC), memory-related net system sales are growing 75%+ (ASML), and semiconductor equipment business is growing 30%+ (AMAT), all pointing to a strong LRCX print and a favorable setup for 2027 guidance.</w:t>
      </w:r>
    </w:p>
    <w:p>
      <w:pPr>
        <w:pStyle w:val="Heading3"/>
      </w:pPr>
      <w:r>
        <w:rPr>
          <w:rFonts w:ascii="Calibri" w:hAnsi="Calibri"/>
          <w:b/>
          <w:color w:val="3B4259"/>
          <w:sz w:val="24"/>
        </w:rPr>
        <w:t>KLAC Corporation — Q4 FY2026 Earnings (Reported July 28, 2026)</w:t>
      </w:r>
    </w:p>
    <w:p>
      <w:r>
        <w:rPr>
          <w:rFonts w:ascii="Calibri" w:hAnsi="Calibri"/>
          <w:b/>
          <w:color w:val="525866"/>
          <w:sz w:val="22"/>
        </w:rPr>
        <w:t xml:space="preserve">Relevance: </w:t>
      </w:r>
      <w:r>
        <w:rPr>
          <w:rFonts w:ascii="Calibri" w:hAnsi="Calibri"/>
          <w:color w:val="525866"/>
          <w:sz w:val="22"/>
        </w:rPr>
        <w:t>KLAC reported the same day as LRCX’s expected print, providing the most current and directly comparable read-through. KLAC covers the same end markets (foundry/logic, DRAM, NAND, advanced packaging) and its WFE commentary is the most widely watched industry benchmark.</w:t>
      </w:r>
    </w:p>
    <w:p>
      <w:pPr>
        <w:pStyle w:val="ListBullet"/>
        <w:ind w:left="360" w:hanging="360"/>
      </w:pPr>
      <w:r>
        <w:rPr>
          <w:rFonts w:ascii="Calibri" w:hAnsi="Calibri"/>
          <w:b/>
          <w:color w:val="525866"/>
          <w:sz w:val="22"/>
        </w:rPr>
        <w:t>WFE raised to low-$150B range for CY2026:</w:t>
      </w:r>
      <w:r>
        <w:rPr>
          <w:rFonts w:ascii="Calibri" w:hAnsi="Calibri"/>
          <w:b/>
          <w:color w:val="30A46C"/>
          <w:sz w:val="22"/>
        </w:rPr>
        <w:t xml:space="preserve"> KLAC upgraded its WFE estimate from “$140B+” to “approximately the low $150 billion range,” representing mid-20% growth above the ~$120B CY2025 baseline. This is a meaningful step-up from LRCX’s own $140B guidance and implies LRCX may raise its WFE outlook on this call. </w:t>
      </w:r>
    </w:p>
    <w:p>
      <w:pPr>
        <w:pStyle w:val="ListBullet"/>
        <w:ind w:left="360" w:hanging="360"/>
      </w:pPr>
      <w:r>
        <w:rPr>
          <w:rFonts w:ascii="Calibri" w:hAnsi="Calibri"/>
          <w:b/>
          <w:color w:val="525866"/>
          <w:sz w:val="22"/>
        </w:rPr>
        <w:t>2027 WFE consensus around $190B:</w:t>
      </w:r>
      <w:r>
        <w:rPr>
          <w:rFonts w:ascii="Calibri" w:hAnsi="Calibri"/>
          <w:color w:val="525866"/>
          <w:sz w:val="22"/>
        </w:rPr>
        <w:t xml:space="preserve"> KLAC’s view aligns with a consensus range of “somewhere in and around the $190 billion range” for CY2027, implying mid-20s% growth again — a powerful read-through for LRCX’s 2027 revenue trajectory and the long-term model update the market is waiting for.</w:t>
      </w:r>
    </w:p>
    <w:p>
      <w:pPr>
        <w:pStyle w:val="ListBullet"/>
        <w:ind w:left="360" w:hanging="360"/>
      </w:pPr>
      <w:r>
        <w:rPr>
          <w:rFonts w:ascii="Calibri" w:hAnsi="Calibri"/>
          <w:b/>
          <w:color w:val="525866"/>
          <w:sz w:val="22"/>
        </w:rPr>
        <w:t>Broad-based investment acceleration:</w:t>
      </w:r>
      <w:r>
        <w:rPr>
          <w:rFonts w:ascii="Calibri" w:hAnsi="Calibri"/>
          <w:color w:val="525866"/>
          <w:sz w:val="22"/>
        </w:rPr>
        <w:t xml:space="preserve"> KLAC cited “unprecedented visibility from customers” and “broad-based investment across leading-edge Logic Foundry, DRAM (both conventional and HBM), NAND, and advanced packaging.” This directly supports LRCX’s etch and deposition exposure across all segments.</w:t>
      </w:r>
    </w:p>
    <w:p>
      <w:pPr>
        <w:pStyle w:val="ListBullet"/>
        <w:ind w:left="360" w:hanging="360"/>
      </w:pPr>
      <w:r>
        <w:rPr>
          <w:rFonts w:ascii="Calibri" w:hAnsi="Calibri"/>
          <w:b/>
          <w:color w:val="525866"/>
          <w:sz w:val="22"/>
        </w:rPr>
        <w:t>Advanced packaging growing &gt;70% in CY2026:</w:t>
      </w:r>
      <w:r>
        <w:rPr>
          <w:rFonts w:ascii="Calibri" w:hAnsi="Calibri"/>
          <w:color w:val="525866"/>
          <w:sz w:val="22"/>
        </w:rPr>
        <w:t xml:space="preserve"> KLAC now expects its advanced packaging process control revenue to grow to ~$1.1B in CY2026, up more than 70% YoY — well above prior expectations of high-50% growth. LRCX guided its own advanced packaging revenue to grow &gt;50% in CY2026, and this KLAC data point suggests the market is even stronger than expected.</w:t>
      </w:r>
    </w:p>
    <w:p>
      <w:pPr>
        <w:pStyle w:val="ListBullet"/>
        <w:ind w:left="360" w:hanging="360"/>
      </w:pPr>
      <w:r>
        <w:rPr>
          <w:rFonts w:ascii="Calibri" w:hAnsi="Calibri"/>
          <w:b/>
          <w:color w:val="525866"/>
          <w:sz w:val="22"/>
        </w:rPr>
        <w:t>NAND greenfield investment emerging:</w:t>
      </w:r>
      <w:r>
        <w:rPr>
          <w:rFonts w:ascii="Calibri" w:hAnsi="Calibri"/>
          <w:color w:val="525866"/>
          <w:sz w:val="22"/>
        </w:rPr>
        <w:t xml:space="preserve"> KLAC noted expectations for “some greenfield investment in flash” and that memory will be “a few percent higher” as a share of WFE in 2027 vs. 2026. This is a positive read-through for LRCX’s NAND exposure, where the $40B upgrade cycle is being pulled forward.</w:t>
      </w:r>
    </w:p>
    <w:p>
      <w:pPr>
        <w:pStyle w:val="ListBullet"/>
        <w:ind w:left="360" w:hanging="360"/>
      </w:pPr>
      <w:r>
        <w:rPr>
          <w:rFonts w:ascii="Calibri" w:hAnsi="Calibri"/>
          <w:b/>
          <w:color w:val="525866"/>
          <w:sz w:val="22"/>
        </w:rPr>
        <w:t>China noise but manageable:</w:t>
      </w:r>
      <w:r>
        <w:rPr>
          <w:rFonts w:ascii="Calibri" w:hAnsi="Calibri"/>
          <w:color w:val="525866"/>
          <w:sz w:val="22"/>
        </w:rPr>
        <w:t xml:space="preserve"> KLAC acknowledged “more noise about more domestic competition” in China but characterized the impact on its 2026 guidance as “fairly immaterial.” China spending described as “more or less flat, maybe a little bit up” — consistent with LRCX’s own guidance for China to be flattish in absolute dollar terms.</w:t>
      </w:r>
    </w:p>
    <w:p>
      <w:pPr>
        <w:pStyle w:val="ListBullet"/>
        <w:ind w:left="360" w:hanging="360"/>
      </w:pPr>
      <w:r>
        <w:rPr>
          <w:rFonts w:ascii="Calibri" w:hAnsi="Calibri"/>
          <w:b/>
          <w:color w:val="525866"/>
          <w:sz w:val="22"/>
        </w:rPr>
        <w:t>September quarter guidance strong:</w:t>
      </w:r>
      <w:r>
        <w:rPr>
          <w:rFonts w:ascii="Calibri" w:hAnsi="Calibri"/>
          <w:color w:val="525866"/>
          <w:sz w:val="22"/>
        </w:rPr>
        <w:t xml:space="preserve"> KLAC guided September quarter revenue to $4.0B (±$200M), up 7% sequentially and 15% YoY, with gross margin of 62.5% — a sequential acceleration that supports LRCX’s own second-half weighting narrative.</w:t>
      </w:r>
    </w:p>
    <w:p>
      <w:pPr>
        <w:pStyle w:val="Heading3"/>
      </w:pPr>
      <w:r>
        <w:rPr>
          <w:rFonts w:ascii="Calibri" w:hAnsi="Calibri"/>
          <w:b/>
          <w:color w:val="3B4259"/>
          <w:sz w:val="24"/>
        </w:rPr>
        <w:t>ASML Holding — Q2 CY2026 Earnings (Reported July 15, 2026)</w:t>
      </w:r>
    </w:p>
    <w:p>
      <w:r>
        <w:rPr>
          <w:rFonts w:ascii="Calibri" w:hAnsi="Calibri"/>
          <w:b/>
          <w:color w:val="525866"/>
          <w:sz w:val="22"/>
        </w:rPr>
        <w:t xml:space="preserve">Relevance: </w:t>
      </w:r>
      <w:r>
        <w:rPr>
          <w:rFonts w:ascii="Calibri" w:hAnsi="Calibri"/>
          <w:color w:val="525866"/>
          <w:sz w:val="22"/>
        </w:rPr>
        <w:t>ASML is the leading lithography equipment supplier and its commentary on customer spending plans, fab capacity additions, and memory/logic investment trends is a leading indicator for downstream etch and deposition demand (LRCX’s core business). ASML’s order book and customer capex revision data are particularly relevant.</w:t>
      </w:r>
    </w:p>
    <w:p>
      <w:pPr>
        <w:pStyle w:val="ListBullet"/>
        <w:ind w:left="360" w:hanging="360"/>
      </w:pPr>
      <w:r>
        <w:rPr>
          <w:rFonts w:ascii="Calibri" w:hAnsi="Calibri"/>
          <w:b/>
          <w:color w:val="525866"/>
          <w:sz w:val="22"/>
        </w:rPr>
        <w:t>Full-year 2026 guidance raised to €43–45B:</w:t>
      </w:r>
      <w:r>
        <w:rPr>
          <w:rFonts w:ascii="Calibri" w:hAnsi="Calibri"/>
          <w:b/>
          <w:color w:val="30A46C"/>
          <w:sz w:val="22"/>
        </w:rPr>
        <w:t xml:space="preserve"> ASML raised its CY2026 total net sales guidance to €43–45B (from prior range), with gross margin of 54–56%. This is a significant upward revision driven by customers revising capex plans upward and ASML’s ability to increase output — a direct positive read-through for LRCX’s June quarter and H2 2026 outlook.</w:t>
      </w:r>
    </w:p>
    <w:p>
      <w:pPr>
        <w:pStyle w:val="ListBullet"/>
        <w:ind w:left="360" w:hanging="360"/>
      </w:pPr>
      <w:r>
        <w:rPr>
          <w:rFonts w:ascii="Calibri" w:hAnsi="Calibri"/>
          <w:b/>
          <w:color w:val="525866"/>
          <w:sz w:val="22"/>
        </w:rPr>
        <w:t>Memory-related net system sales growing &gt;75% in CY2026:</w:t>
      </w:r>
      <w:r>
        <w:rPr>
          <w:rFonts w:ascii="Calibri" w:hAnsi="Calibri"/>
          <w:color w:val="525866"/>
          <w:sz w:val="22"/>
        </w:rPr>
        <w:t xml:space="preserve"> ASML anticipates its “memory related net system sales to grow by over 75% this year,” driven by DRAM capacity additions (both HBM and DDR) and customers planning “multiple mega fabs.” This is a powerful read-through for LRCX’s DRAM and NAND systems revenue.</w:t>
      </w:r>
    </w:p>
    <w:p>
      <w:pPr>
        <w:pStyle w:val="ListBullet"/>
        <w:ind w:left="360" w:hanging="360"/>
      </w:pPr>
      <w:r>
        <w:rPr>
          <w:rFonts w:ascii="Calibri" w:hAnsi="Calibri"/>
          <w:b/>
          <w:color w:val="525866"/>
          <w:sz w:val="22"/>
        </w:rPr>
        <w:t>Advanced logic foundry net system sales growing &gt;25%:</w:t>
      </w:r>
      <w:r>
        <w:rPr>
          <w:rFonts w:ascii="Calibri" w:hAnsi="Calibri"/>
          <w:color w:val="525866"/>
          <w:sz w:val="22"/>
        </w:rPr>
        <w:t xml:space="preserve"> ASML expects “advanced Logic foundry related net system sales to grow over 25% this year,” with the 2nm node ramping rapidly and customers already planning 1.4nm investments. This supports LRCX’s record foundry/logic revenue trajectory and its new dielectric etch wins at a key foundry customer.</w:t>
      </w:r>
    </w:p>
    <w:p>
      <w:pPr>
        <w:pStyle w:val="ListBullet"/>
        <w:ind w:left="360" w:hanging="360"/>
      </w:pPr>
      <w:r>
        <w:rPr>
          <w:rFonts w:ascii="Calibri" w:hAnsi="Calibri"/>
          <w:b/>
          <w:color w:val="525866"/>
          <w:sz w:val="22"/>
        </w:rPr>
        <w:t>Customer capex plans revised upward:</w:t>
      </w:r>
      <w:r>
        <w:rPr>
          <w:rFonts w:ascii="Calibri" w:hAnsi="Calibri"/>
          <w:color w:val="525866"/>
          <w:sz w:val="22"/>
        </w:rPr>
        <w:t xml:space="preserve"> “A number of our customers have revised their capital expenditure plans upward for the year,” with customers entering into long-term agreements providing “longer term visibility and the confidence to add significant capacity.” This directly supports LRCX management’s claim of having “better visibility into the following year than I think I can ever remember.”</w:t>
      </w:r>
    </w:p>
    <w:p>
      <w:pPr>
        <w:pStyle w:val="ListBullet"/>
        <w:ind w:left="360" w:hanging="360"/>
      </w:pPr>
      <w:r>
        <w:rPr>
          <w:rFonts w:ascii="Calibri" w:hAnsi="Calibri"/>
          <w:b/>
          <w:color w:val="525866"/>
          <w:sz w:val="22"/>
        </w:rPr>
        <w:t>2027 capacity expansion aggressive:</w:t>
      </w:r>
      <w:r>
        <w:rPr>
          <w:rFonts w:ascii="Calibri" w:hAnsi="Calibri"/>
          <w:color w:val="525866"/>
          <w:sz w:val="22"/>
        </w:rPr>
        <w:t xml:space="preserve"> ASML is “close to being fully covered with orders for low-end EUV” for 2027 and planning a 30% capacity increase (implying ~85 tools), with 2028 orders already coming in. This multi-year visibility is a strong read-through for LRCX’s 2027 WFE growth characterization.</w:t>
      </w:r>
    </w:p>
    <w:p>
      <w:pPr>
        <w:pStyle w:val="ListBullet"/>
        <w:ind w:left="360" w:hanging="360"/>
      </w:pPr>
      <w:r>
        <w:rPr>
          <w:rFonts w:ascii="Calibri" w:hAnsi="Calibri"/>
          <w:b/>
          <w:color w:val="525866"/>
          <w:sz w:val="22"/>
        </w:rPr>
        <w:t>Installed base management (services) growing &gt;30%:</w:t>
      </w:r>
      <w:r>
        <w:rPr>
          <w:rFonts w:ascii="Calibri" w:hAnsi="Calibri"/>
          <w:color w:val="525866"/>
          <w:sz w:val="22"/>
        </w:rPr>
        <w:t xml:space="preserve"> ASML’s installed base management sales expected to grow “over 30% this year,” driven by service revenue from expanding EUV installed base and customer demand for upgrades. This is a positive read-through for LRCX’s CSBG business, which also benefits from high fab utilization and upgrade demand.</w:t>
      </w:r>
    </w:p>
    <w:p>
      <w:pPr>
        <w:pStyle w:val="Heading3"/>
      </w:pPr>
      <w:r>
        <w:rPr>
          <w:rFonts w:ascii="Calibri" w:hAnsi="Calibri"/>
          <w:b/>
          <w:color w:val="3B4259"/>
          <w:sz w:val="24"/>
        </w:rPr>
        <w:t>Applied Materials — Q2 FY2026 Earnings (Reported May 14, 2026)</w:t>
      </w:r>
    </w:p>
    <w:p>
      <w:r>
        <w:rPr>
          <w:rFonts w:ascii="Calibri" w:hAnsi="Calibri"/>
          <w:b/>
          <w:color w:val="525866"/>
          <w:sz w:val="22"/>
        </w:rPr>
        <w:t xml:space="preserve">Relevance: </w:t>
      </w:r>
      <w:r>
        <w:rPr>
          <w:rFonts w:ascii="Calibri" w:hAnsi="Calibri"/>
          <w:color w:val="525866"/>
          <w:sz w:val="22"/>
        </w:rPr>
        <w:t>AMAT is LRCX’s closest direct competitor in etch and deposition, and its commentary on end-market demand, customer spending patterns, and specific technology inflections (DRAM, advanced packaging, foundry/logic) is the most directly comparable read-through available. AMAT’s May 14 report covers the same calendar quarter as LRCX’s June quarter guidance period.</w:t>
      </w:r>
    </w:p>
    <w:p>
      <w:pPr>
        <w:pStyle w:val="ListBullet"/>
        <w:ind w:left="360" w:hanging="360"/>
      </w:pPr>
      <w:r>
        <w:rPr>
          <w:rFonts w:ascii="Calibri" w:hAnsi="Calibri"/>
          <w:b/>
          <w:color w:val="525866"/>
          <w:sz w:val="22"/>
        </w:rPr>
        <w:t>Semiconductor equipment business growing &gt;30% in CY2026:</w:t>
      </w:r>
      <w:r>
        <w:rPr>
          <w:rFonts w:ascii="Calibri" w:hAnsi="Calibri"/>
          <w:b/>
          <w:color w:val="30A46C"/>
          <w:sz w:val="22"/>
        </w:rPr>
        <w:t xml:space="preserve"> AMAT raised its semiconductor equipment growth outlook to “more than 30% this calendar year,” implying H2 CY2026 equipment revenue of ~$14.5–15B. This is a direct positive read-through for LRCX’s June quarter and H2 guidance, and suggests the WFE environment is even stronger than LRCX’s $140B estimate.</w:t>
      </w:r>
    </w:p>
    <w:p>
      <w:pPr>
        <w:pStyle w:val="ListBullet"/>
        <w:ind w:left="360" w:hanging="360"/>
      </w:pPr>
      <w:r>
        <w:rPr>
          <w:rFonts w:ascii="Calibri" w:hAnsi="Calibri"/>
          <w:b/>
          <w:color w:val="525866"/>
          <w:sz w:val="22"/>
        </w:rPr>
        <w:t>Etch is one of AMAT’s fastest-growing businesses in CY2026:</w:t>
      </w:r>
      <w:r>
        <w:rPr>
          <w:rFonts w:ascii="Calibri" w:hAnsi="Calibri"/>
          <w:color w:val="525866"/>
          <w:sz w:val="22"/>
        </w:rPr>
        <w:t xml:space="preserve"> AMAT explicitly called out etch as “one of our fastest-growing businesses this calendar year,” with its Sym3 platform seeing strong adoption (250+ chambers, multi-hundreds of millions in growth). This is a direct read-through for LRCX’s etch business, which is the core of its SAM expansion story.</w:t>
      </w:r>
    </w:p>
    <w:p>
      <w:pPr>
        <w:pStyle w:val="ListBullet"/>
        <w:ind w:left="360" w:hanging="360"/>
      </w:pPr>
      <w:r>
        <w:rPr>
          <w:rFonts w:ascii="Calibri" w:hAnsi="Calibri"/>
          <w:b/>
          <w:color w:val="525866"/>
          <w:sz w:val="22"/>
        </w:rPr>
        <w:t>DRAM demand “incredibly strong”; customers aggressively adding capacity:</w:t>
      </w:r>
      <w:r>
        <w:rPr>
          <w:rFonts w:ascii="Calibri" w:hAnsi="Calibri"/>
          <w:color w:val="525866"/>
          <w:sz w:val="22"/>
        </w:rPr>
        <w:t xml:space="preserve"> AMAT described AI computing as driving “incredibly strong demand” for DRAM, with customers “aggressively adding capacity at 6F² nodes.” AMAT expects to gain additional DRAM market share at upcoming transistor inflections — a competitive dynamic LRCX is also navigating with its Striker carbide and DRAM dielectric deposition tools.</w:t>
      </w:r>
    </w:p>
    <w:p>
      <w:pPr>
        <w:pStyle w:val="ListBullet"/>
        <w:ind w:left="360" w:hanging="360"/>
      </w:pPr>
      <w:r>
        <w:rPr>
          <w:rFonts w:ascii="Calibri" w:hAnsi="Calibri"/>
          <w:b/>
          <w:color w:val="525866"/>
          <w:sz w:val="22"/>
        </w:rPr>
        <w:t>Advanced packaging revenue growing &gt;50% in CY2026:</w:t>
      </w:r>
      <w:r>
        <w:rPr>
          <w:rFonts w:ascii="Calibri" w:hAnsi="Calibri"/>
          <w:color w:val="525866"/>
          <w:sz w:val="22"/>
        </w:rPr>
        <w:t xml:space="preserve"> AMAT expects to grow packaging revenues “more than 50% in calendar 2026,” consistent with LRCX’s own &gt;50% advanced packaging growth guidance. AMAT also announced intent to acquire NEXX for panel-level packaging — directly competitive with LRCX’s Panel-Level Packaging Center of Excellence in Salzburg.</w:t>
      </w:r>
    </w:p>
    <w:p>
      <w:pPr>
        <w:pStyle w:val="ListBullet"/>
        <w:ind w:left="360" w:hanging="360"/>
      </w:pPr>
      <w:r>
        <w:rPr>
          <w:rFonts w:ascii="Calibri" w:hAnsi="Calibri"/>
          <w:b/>
          <w:color w:val="525866"/>
          <w:sz w:val="22"/>
        </w:rPr>
        <w:t>Cleanroom constraints easing, enabling incremental deliveries:</w:t>
      </w:r>
      <w:r>
        <w:rPr>
          <w:rFonts w:ascii="Calibri" w:hAnsi="Calibri"/>
          <w:color w:val="525866"/>
          <w:sz w:val="22"/>
        </w:rPr>
        <w:t xml:space="preserve"> AMAT noted that “customers are finding new ways to reallocate or create space,” leading to “incremental requests for equipment deliveries in 2026.” This is consistent with LRCX’s April commentary that customers found additional clean room space enabling the WFE upgrade to $140B.</w:t>
      </w:r>
    </w:p>
    <w:p>
      <w:pPr>
        <w:pStyle w:val="ListBullet"/>
        <w:ind w:left="360" w:hanging="360"/>
      </w:pPr>
      <w:r>
        <w:rPr>
          <w:rFonts w:ascii="Calibri" w:hAnsi="Calibri"/>
          <w:b/>
          <w:color w:val="525866"/>
          <w:sz w:val="22"/>
        </w:rPr>
        <w:t>2027 expected to be “another strong record year”:</w:t>
      </w:r>
      <w:r>
        <w:rPr>
          <w:rFonts w:ascii="Calibri" w:hAnsi="Calibri"/>
          <w:color w:val="525866"/>
          <w:sz w:val="22"/>
        </w:rPr>
        <w:t xml:space="preserve"> AMAT stated that “based on our latest discussions with [customers], we expect 2027 will be another strong record year for the industry,” tracking over 100 factory projects globally with 10+ added in the last quarter. This is the strongest industry-level endorsement of LRCX’s 2027 WFE growth characterization.</w:t>
      </w:r>
    </w:p>
    <w:p>
      <w:pPr>
        <w:pStyle w:val="ListBullet"/>
        <w:ind w:left="360" w:hanging="360"/>
      </w:pPr>
      <w:r>
        <w:rPr>
          <w:rFonts w:ascii="Calibri" w:hAnsi="Calibri"/>
          <w:b/>
          <w:color w:val="525866"/>
          <w:sz w:val="22"/>
        </w:rPr>
        <w:t>NAND bit growth forecast raised; satisfied by upgrades:</w:t>
      </w:r>
      <w:r>
        <w:rPr>
          <w:rFonts w:ascii="Calibri" w:hAnsi="Calibri"/>
          <w:color w:val="525866"/>
          <w:sz w:val="22"/>
        </w:rPr>
        <w:t xml:space="preserve"> AMAT raised its NAND bit growth forecast but noted it “will still be satisfied by upgrades” rather than new wafer starts — directly consistent with LRCX’s $40B NAND upgrade cycle narrative and its CSBG upgrade revenue strength.</w:t>
      </w:r>
    </w:p>
    <w:p>
      <w:pPr>
        <w:pStyle w:val="Heading3"/>
      </w:pPr>
      <w:r>
        <w:rPr>
          <w:rFonts w:ascii="Calibri" w:hAnsi="Calibri"/>
          <w:b/>
          <w:color w:val="3B4259"/>
          <w:sz w:val="24"/>
        </w:rPr>
        <w:t>Applied Materials — DRAM &amp; Advanced Packaging Master Class (June 25, 2026)</w:t>
      </w:r>
    </w:p>
    <w:p>
      <w:r>
        <w:rPr>
          <w:rFonts w:ascii="Calibri" w:hAnsi="Calibri"/>
          <w:b/>
          <w:color w:val="525866"/>
          <w:sz w:val="22"/>
        </w:rPr>
        <w:t xml:space="preserve">Relevance: </w:t>
      </w:r>
      <w:r>
        <w:rPr>
          <w:rFonts w:ascii="Calibri" w:hAnsi="Calibri"/>
          <w:color w:val="525866"/>
          <w:sz w:val="22"/>
        </w:rPr>
        <w:t>AMAT’s June 25 Master Class provided a detailed technology and market sizing update on DRAM and advanced packaging — two of LRCX’s highest-growth segments — and is the most recent pre-earnings industry data point available.</w:t>
      </w:r>
    </w:p>
    <w:p>
      <w:pPr>
        <w:pStyle w:val="ListBullet"/>
        <w:ind w:left="360" w:hanging="360"/>
      </w:pPr>
      <w:r>
        <w:rPr>
          <w:rFonts w:ascii="Calibri" w:hAnsi="Calibri"/>
          <w:b/>
          <w:color w:val="525866"/>
          <w:sz w:val="22"/>
        </w:rPr>
        <w:t>DRAM WFE spending well over 2x NAND for the foreseeable future:</w:t>
      </w:r>
      <w:r>
        <w:rPr>
          <w:rFonts w:ascii="Calibri" w:hAnsi="Calibri"/>
          <w:color w:val="525866"/>
          <w:sz w:val="22"/>
        </w:rPr>
        <w:t xml:space="preserve"> AMAT explicitly stated that “DRAM wafer fab equipment spending is anticipated to be well over two times NAND spending for the foreseeable future.” This supports LRCX’s DRAM-heavy systems revenue mix (27% of systems in Q3 FY2026) and its Striker carbide and ALD dielectric deposition SAM expansion story.</w:t>
      </w:r>
    </w:p>
    <w:p>
      <w:pPr>
        <w:pStyle w:val="ListBullet"/>
        <w:ind w:left="360" w:hanging="360"/>
      </w:pPr>
      <w:r>
        <w:rPr>
          <w:rFonts w:ascii="Calibri" w:hAnsi="Calibri"/>
          <w:b/>
          <w:color w:val="525866"/>
          <w:sz w:val="22"/>
        </w:rPr>
        <w:t>DRAM capital intensity increasing at each node transition:</w:t>
      </w:r>
      <w:r>
        <w:rPr>
          <w:rFonts w:ascii="Calibri" w:hAnsi="Calibri"/>
          <w:color w:val="525866"/>
          <w:sz w:val="22"/>
        </w:rPr>
        <w:t xml:space="preserve"> Moving from 6F² to 4F² DRAM increases capex from ~$6B to ~$6.5B per 100K wafer starts; 3D DRAM rises to ~$7.5B. AMAT’s revenue per wafer start grows ~10% for 4F² and ~30% for 3D DRAM — a read-through for LRCX’s own SAM expansion as DRAM customers migrate to more complex architectures.</w:t>
      </w:r>
    </w:p>
    <w:p>
      <w:pPr>
        <w:pStyle w:val="ListBullet"/>
        <w:ind w:left="360" w:hanging="360"/>
      </w:pPr>
      <w:r>
        <w:rPr>
          <w:rFonts w:ascii="Calibri" w:hAnsi="Calibri"/>
          <w:b/>
          <w:color w:val="525866"/>
          <w:sz w:val="22"/>
        </w:rPr>
        <w:t>Advanced packaging revenue more than tripled from 2020–2024; growing &gt;50% in CY2026:</w:t>
      </w:r>
      <w:r>
        <w:rPr>
          <w:rFonts w:ascii="Calibri" w:hAnsi="Calibri"/>
          <w:color w:val="525866"/>
          <w:sz w:val="22"/>
        </w:rPr>
        <w:t xml:space="preserve"> AMAT’s advanced packaging revenue “actually more than tripled” vs. its original projection of doubling, and is expected to increase by over 50% in CY2026 to more than $2B. This validates LRCX’s own ~$2B advanced packaging revenue figure and &gt;50% growth guidance.</w:t>
      </w:r>
    </w:p>
    <w:p>
      <w:pPr>
        <w:pStyle w:val="ListBullet"/>
        <w:ind w:left="360" w:hanging="360"/>
      </w:pPr>
      <w:r>
        <w:rPr>
          <w:rFonts w:ascii="Calibri" w:hAnsi="Calibri"/>
          <w:b/>
          <w:color w:val="525866"/>
          <w:sz w:val="22"/>
        </w:rPr>
        <w:t>Panel-level packaging transition accelerating:</w:t>
      </w:r>
      <w:r>
        <w:rPr>
          <w:rFonts w:ascii="Calibri" w:hAnsi="Calibri"/>
          <w:color w:val="525866"/>
          <w:sz w:val="22"/>
        </w:rPr>
        <w:t xml:space="preserve"> AMAT highlighted the industry transition from silicon wafer interposers to panels (310x310mm to 600x600mm) as a major emerging trend for AI super chips. LRCX opened its Panel-Level Packaging Center of Excellence in Salzburg in May 2026 — this AMAT commentary validates the strategic timing and market opportunity.</w:t>
      </w:r>
    </w:p>
    <w:p>
      <w:pPr>
        <w:pStyle w:val="ListBullet"/>
        <w:ind w:left="360" w:hanging="360"/>
      </w:pPr>
      <w:r>
        <w:rPr>
          <w:rFonts w:ascii="Calibri" w:hAnsi="Calibri"/>
          <w:b/>
          <w:color w:val="525866"/>
          <w:sz w:val="22"/>
        </w:rPr>
        <w:t>AI semiconductor industry reaching ~$1 trillion in CY2026:</w:t>
      </w:r>
      <w:r>
        <w:rPr>
          <w:rFonts w:ascii="Calibri" w:hAnsi="Calibri"/>
          <w:color w:val="525866"/>
          <w:sz w:val="22"/>
        </w:rPr>
        <w:t xml:space="preserve"> AMAT noted the semiconductor industry is reaching approximately $1 trillion in annual sales in CY2026 — years ahead of its original 2030 projection — driven by AI. This macro backdrop supports LRCX’s characterization of an “accelerating AI-driven semiconductor demand environment” and its raised WFE outlook.</w:t>
      </w:r>
    </w:p>
    <w:p>
      <w:r>
        <w:rPr>
          <w:rFonts w:ascii="Calibri" w:hAnsi="Calibri"/>
          <w:i/>
          <w:color w:val="525866"/>
          <w:sz w:val="22"/>
        </w:rPr>
        <w:t>Sources: KLAC Q4 FY2026 Earnings Call Transcript (July 28, 2026); ASML Q2 CY2026 Earnings Call Transcript (July 15, 2026); AMAT Q2 FY2026 Earnings Call Transcript (May 14, 2026); AMAT DRAM &amp; Advanced Packaging Master Class (June 25, 2026).</w:t>
      </w:r>
    </w:p>
    <w:p>
      <w:r>
        <w:br w:type="page"/>
      </w:r>
    </w:p>
    <w:p>
      <w:pPr>
        <w:pStyle w:val="Heading2"/>
      </w:pPr>
      <w:r>
        <w:rPr>
          <w:rFonts w:ascii="Calibri" w:hAnsi="Calibri"/>
          <w:b/>
          <w:color w:val="3B4259"/>
          <w:sz w:val="28"/>
        </w:rPr>
        <w:t>7. Material News &amp; Developments</w:t>
      </w:r>
    </w:p>
    <w:p>
      <w:r>
        <w:rPr>
          <w:rFonts w:ascii="Calibri" w:hAnsi="Calibri"/>
          <w:b/>
          <w:color w:val="525866"/>
          <w:sz w:val="22"/>
        </w:rPr>
        <w:t xml:space="preserve">Key Takeaway: </w:t>
      </w:r>
      <w:r>
        <w:rPr>
          <w:rFonts w:ascii="Calibri" w:hAnsi="Calibri"/>
          <w:color w:val="525866"/>
          <w:sz w:val="22"/>
        </w:rPr>
        <w:t>The most important development since the April 22 earnings call is the broad-based WFE upgrade cycle confirmed by peers (KLAC now at low-$150B, AMAT guiding &gt;30% equipment growth), which validates LRCX’s bullish setup — but the sharp stock selloff from the June peak suggests the market is pricing in China export control risk and multiple compression, making the tone of management’s 2027 framework the key swing factor for the print.</w:t>
      </w:r>
    </w:p>
    <w:p>
      <w:pPr>
        <w:pStyle w:val="ListBullet"/>
        <w:ind w:left="360" w:hanging="360"/>
      </w:pPr>
      <w:r>
        <w:rPr>
          <w:rFonts w:ascii="Calibri" w:hAnsi="Calibri"/>
          <w:b/>
          <w:color w:val="525866"/>
          <w:sz w:val="22"/>
        </w:rPr>
        <w:t>July 28, 2026 — KLAC Q4 FY2026 Earnings:</w:t>
      </w:r>
      <w:r>
        <w:rPr>
          <w:rFonts w:ascii="Calibri" w:hAnsi="Calibri"/>
          <w:color w:val="525866"/>
          <w:sz w:val="22"/>
        </w:rPr>
        <w:t xml:space="preserve"> KLAC raised WFE estimate to low-$150B range (from $140B+) and guided September quarter revenue to $4.0B (+7% QoQ). Cited “unprecedented visibility” and 2027 WFE consensus around $190B. </w:t>
      </w:r>
      <w:r>
        <w:rPr>
          <w:rFonts w:ascii="Calibri" w:hAnsi="Calibri"/>
          <w:b/>
          <w:color w:val="525866"/>
          <w:sz w:val="22"/>
        </w:rPr>
        <w:t>Implication:</w:t>
      </w:r>
      <w:r>
        <w:rPr>
          <w:rFonts w:ascii="Calibri" w:hAnsi="Calibri"/>
          <w:color w:val="525866"/>
          <w:sz w:val="22"/>
        </w:rPr>
        <w:t xml:space="preserve"> Strongest possible read-through for LRCX; suggests LRCX may raise its own WFE estimate and provide a bullish 2027 framework on this call.</w:t>
      </w:r>
    </w:p>
    <w:p>
      <w:pPr>
        <w:pStyle w:val="ListBullet"/>
        <w:ind w:left="360" w:hanging="360"/>
      </w:pPr>
      <w:r>
        <w:rPr>
          <w:rFonts w:ascii="Calibri" w:hAnsi="Calibri"/>
          <w:b/>
          <w:color w:val="525866"/>
          <w:sz w:val="22"/>
        </w:rPr>
        <w:t>July 15, 2026 — ASML Q2 CY2026 Earnings:</w:t>
      </w:r>
      <w:r>
        <w:rPr>
          <w:rFonts w:ascii="Calibri" w:hAnsi="Calibri"/>
          <w:color w:val="525866"/>
          <w:sz w:val="22"/>
        </w:rPr>
        <w:t xml:space="preserve"> ASML raised full-year 2026 guidance to €43–45B; memory-related net system sales growing &gt;75%; nearly fully covered with 2027 EUV orders; planning 30% capacity increase for 2027. </w:t>
      </w:r>
      <w:r>
        <w:rPr>
          <w:rFonts w:ascii="Calibri" w:hAnsi="Calibri"/>
          <w:b/>
          <w:color w:val="525866"/>
          <w:sz w:val="22"/>
        </w:rPr>
        <w:t>Implication:</w:t>
      </w:r>
      <w:r>
        <w:rPr>
          <w:rFonts w:ascii="Calibri" w:hAnsi="Calibri"/>
          <w:color w:val="525866"/>
          <w:sz w:val="22"/>
        </w:rPr>
        <w:t xml:space="preserve"> Confirms multi-year demand visibility that underpins LRCX’s H2 2026 and 2027 growth narrative.</w:t>
      </w:r>
    </w:p>
    <w:p>
      <w:pPr>
        <w:pStyle w:val="ListBullet"/>
        <w:ind w:left="360" w:hanging="360"/>
      </w:pPr>
      <w:r>
        <w:rPr>
          <w:rFonts w:ascii="Calibri" w:hAnsi="Calibri"/>
          <w:b/>
          <w:color w:val="525866"/>
          <w:sz w:val="22"/>
        </w:rPr>
        <w:t>July 8, 2026 — LRCX Announces June Quarter Financial Conference Call:</w:t>
      </w:r>
      <w:r>
        <w:rPr>
          <w:rFonts w:ascii="Calibri" w:hAnsi="Calibri"/>
          <w:color w:val="525866"/>
          <w:sz w:val="22"/>
        </w:rPr>
        <w:t xml:space="preserve"> Lam Research formally announced the date for its Q4 FY2026 earnings call, confirming the reporting timeline. </w:t>
      </w:r>
      <w:r>
        <w:rPr>
          <w:rFonts w:ascii="Calibri" w:hAnsi="Calibri"/>
          <w:b/>
          <w:color w:val="525866"/>
          <w:sz w:val="22"/>
        </w:rPr>
        <w:t>Implication:</w:t>
      </w:r>
      <w:r>
        <w:rPr>
          <w:rFonts w:ascii="Calibri" w:hAnsi="Calibri"/>
          <w:color w:val="525866"/>
          <w:sz w:val="22"/>
        </w:rPr>
        <w:t xml:space="preserve"> No pre-announcement or guidance revision accompanied the announcement — consistent with management’s confidence in the guided range.</w:t>
      </w:r>
    </w:p>
    <w:p>
      <w:pPr>
        <w:pStyle w:val="ListBullet"/>
        <w:ind w:left="360" w:hanging="360"/>
      </w:pPr>
      <w:r>
        <w:rPr>
          <w:rFonts w:ascii="Calibri" w:hAnsi="Calibri"/>
          <w:b/>
          <w:color w:val="525866"/>
          <w:sz w:val="22"/>
        </w:rPr>
        <w:t>June 25, 2026 — AMAT DRAM &amp; Advanced Packaging Master Class:</w:t>
      </w:r>
      <w:r>
        <w:rPr>
          <w:rFonts w:ascii="Calibri" w:hAnsi="Calibri"/>
          <w:color w:val="525866"/>
          <w:sz w:val="22"/>
        </w:rPr>
        <w:t xml:space="preserve"> AMAT provided detailed technology roadmap and market sizing for DRAM (capital intensity increasing at each node) and advanced packaging (panel-level transition accelerating). Semiconductor industry reaching ~$1T in CY2026. </w:t>
      </w:r>
      <w:r>
        <w:rPr>
          <w:rFonts w:ascii="Calibri" w:hAnsi="Calibri"/>
          <w:b/>
          <w:color w:val="525866"/>
          <w:sz w:val="22"/>
        </w:rPr>
        <w:t>Implication:</w:t>
      </w:r>
      <w:r>
        <w:rPr>
          <w:rFonts w:ascii="Calibri" w:hAnsi="Calibri"/>
          <w:color w:val="525866"/>
          <w:sz w:val="22"/>
        </w:rPr>
        <w:t xml:space="preserve"> Validates LRCX’s SAM expansion thesis and advanced packaging growth opportunity; panel-level packaging competition from AMAT (NEXX acquisition) is a watch item.</w:t>
      </w:r>
    </w:p>
    <w:p>
      <w:pPr>
        <w:pStyle w:val="ListBullet"/>
        <w:ind w:left="360" w:hanging="360"/>
      </w:pPr>
      <w:r>
        <w:rPr>
          <w:rFonts w:ascii="Calibri" w:hAnsi="Calibri"/>
          <w:b/>
          <w:color w:val="525866"/>
          <w:sz w:val="22"/>
        </w:rPr>
        <w:t>May 2026 — LRCX Opens Panel-Level Packaging Center of Excellence (Salzburg, Austria):</w:t>
      </w:r>
      <w:r>
        <w:rPr>
          <w:rFonts w:ascii="Calibri" w:hAnsi="Calibri"/>
          <w:color w:val="525866"/>
          <w:sz w:val="22"/>
        </w:rPr>
        <w:t xml:space="preserve"> Built on the 2022 Semsysco acquisition; active shipments of panel-level solutions underway; mainstream adoption characterized as “coming in the foreseeable future.” </w:t>
      </w:r>
      <w:r>
        <w:rPr>
          <w:rFonts w:ascii="Calibri" w:hAnsi="Calibri"/>
          <w:b/>
          <w:color w:val="525866"/>
          <w:sz w:val="22"/>
        </w:rPr>
        <w:t>Implication:</w:t>
      </w:r>
      <w:r>
        <w:rPr>
          <w:rFonts w:ascii="Calibri" w:hAnsi="Calibri"/>
          <w:color w:val="525866"/>
          <w:sz w:val="22"/>
        </w:rPr>
        <w:t xml:space="preserve"> Positions LRCX as a first-mover in panel-level packaging; competitive with AMAT’s NEXX acquisition announced around the same time.</w:t>
      </w:r>
    </w:p>
    <w:p>
      <w:pPr>
        <w:pStyle w:val="ListBullet"/>
        <w:ind w:left="360" w:hanging="360"/>
      </w:pPr>
      <w:r>
        <w:rPr>
          <w:rFonts w:ascii="Calibri" w:hAnsi="Calibri"/>
          <w:b/>
          <w:color w:val="525866"/>
          <w:sz w:val="22"/>
        </w:rPr>
        <w:t>May 14, 2026 — AMAT Q2 FY2026 Earnings:</w:t>
      </w:r>
      <w:r>
        <w:rPr>
          <w:rFonts w:ascii="Calibri" w:hAnsi="Calibri"/>
          <w:color w:val="525866"/>
          <w:sz w:val="22"/>
        </w:rPr>
        <w:t xml:space="preserve"> AMAT guided semiconductor equipment business to grow &gt;30% in CY2026; etch called out as one of fastest-growing businesses; advanced packaging revenue growing &gt;50%. Announced intent to acquire NEXX for panel-level packaging. </w:t>
      </w:r>
      <w:r>
        <w:rPr>
          <w:rFonts w:ascii="Calibri" w:hAnsi="Calibri"/>
          <w:b/>
          <w:color w:val="525866"/>
          <w:sz w:val="22"/>
        </w:rPr>
        <w:t>Implication:</w:t>
      </w:r>
      <w:r>
        <w:rPr>
          <w:rFonts w:ascii="Calibri" w:hAnsi="Calibri"/>
          <w:color w:val="525866"/>
          <w:sz w:val="22"/>
        </w:rPr>
        <w:t xml:space="preserve"> Confirms strong etch demand environment (positive for LRCX); NEXX acquisition signals intensifying competition in panel-level packaging.</w:t>
      </w:r>
    </w:p>
    <w:p>
      <w:pPr>
        <w:pStyle w:val="ListBullet"/>
        <w:ind w:left="360" w:hanging="360"/>
      </w:pPr>
      <w:r>
        <w:rPr>
          <w:rFonts w:ascii="Calibri" w:hAnsi="Calibri"/>
          <w:b/>
          <w:color w:val="525866"/>
          <w:sz w:val="22"/>
        </w:rPr>
        <w:t>April 22, 2026 — LRCX Q3 FY2026 Earnings Beat; June Quarter Guidance Well Above Street:</w:t>
      </w:r>
      <w:r>
        <w:rPr>
          <w:rFonts w:ascii="Calibri" w:hAnsi="Calibri"/>
          <w:color w:val="525866"/>
          <w:sz w:val="22"/>
        </w:rPr>
        <w:t xml:space="preserve"> Revenue $5.84B (beat), Op. EPS $1.47 (beat high end of range); June quarter guided to $6.6B revenue and $1.65 EPS — both well above prior consensus. WFE raised to $140B. CSBG first-ever $2B+ quarter. First dielectric etch wins at key foundry/logic customer. </w:t>
      </w:r>
      <w:r>
        <w:rPr>
          <w:rFonts w:ascii="Calibri" w:hAnsi="Calibri"/>
          <w:b/>
          <w:color w:val="525866"/>
          <w:sz w:val="22"/>
        </w:rPr>
        <w:t>Implication:</w:t>
      </w:r>
      <w:r>
        <w:rPr>
          <w:rFonts w:ascii="Calibri" w:hAnsi="Calibri"/>
          <w:color w:val="525866"/>
          <w:sz w:val="22"/>
        </w:rPr>
        <w:t xml:space="preserve"> Set the bullish tone for the current quarter; the June quarter print is now about confirming execution against this elevated bar.</w:t>
      </w:r>
    </w:p>
    <w:p>
      <w:pPr>
        <w:pStyle w:val="ListBullet"/>
        <w:ind w:left="360" w:hanging="360"/>
      </w:pPr>
      <w:r>
        <w:rPr>
          <w:rFonts w:ascii="Calibri" w:hAnsi="Calibri"/>
          <w:b/>
          <w:color w:val="525866"/>
          <w:sz w:val="22"/>
        </w:rPr>
        <w:t>Ongoing — China Export Control Risk:</w:t>
      </w:r>
      <w:r>
        <w:rPr>
          <w:rFonts w:ascii="Calibri" w:hAnsi="Calibri"/>
          <w:color w:val="525866"/>
          <w:sz w:val="22"/>
        </w:rPr>
        <w:t xml:space="preserve"> KLAC received a letter regarding Hua Hong-affiliated fabs (characterized as “fairly immaterial” to KLAC’s 2026 guidance). LRCX’s China revenue is guided to decline from 34% in Q3 to &lt;30% in CY2026. </w:t>
      </w:r>
      <w:r>
        <w:rPr>
          <w:rFonts w:ascii="Calibri" w:hAnsi="Calibri"/>
          <w:b/>
          <w:color w:val="525866"/>
          <w:sz w:val="22"/>
        </w:rPr>
        <w:t>Implication:</w:t>
      </w:r>
      <w:r>
        <w:rPr>
          <w:rFonts w:ascii="Calibri" w:hAnsi="Calibri"/>
          <w:color w:val="525866"/>
          <w:sz w:val="22"/>
        </w:rPr>
        <w:t xml:space="preserve"> China normalization is already in guidance, but incremental export control actions remain the key downside risk; any new restrictions could pressure the stock further.</w:t>
      </w:r>
    </w:p>
    <w:p>
      <w:pPr>
        <w:pStyle w:val="ListBullet"/>
        <w:ind w:left="360" w:hanging="360"/>
      </w:pPr>
      <w:r>
        <w:rPr>
          <w:rFonts w:ascii="Calibri" w:hAnsi="Calibri"/>
          <w:b/>
          <w:color w:val="525866"/>
          <w:sz w:val="22"/>
        </w:rPr>
        <w:t>Ongoing — Second Malaysia Manufacturing Facility:</w:t>
      </w:r>
      <w:r>
        <w:rPr>
          <w:rFonts w:ascii="Calibri" w:hAnsi="Calibri"/>
          <w:color w:val="525866"/>
          <w:sz w:val="22"/>
        </w:rPr>
        <w:t xml:space="preserve"> Expected to come online in H2 CY2026; approximately the same size as the first (LRCX’s largest factory). </w:t>
      </w:r>
      <w:r>
        <w:rPr>
          <w:rFonts w:ascii="Calibri" w:hAnsi="Calibri"/>
          <w:b/>
          <w:color w:val="525866"/>
          <w:sz w:val="22"/>
        </w:rPr>
        <w:t>Implication:</w:t>
      </w:r>
      <w:r>
        <w:rPr>
          <w:rFonts w:ascii="Calibri" w:hAnsi="Calibri"/>
          <w:color w:val="525866"/>
          <w:sz w:val="22"/>
        </w:rPr>
        <w:t xml:space="preserve"> Provides manufacturing capacity to support 2027 demand ramp; close-to-customer strategy supports gross margin improvement.</w:t>
      </w:r>
    </w:p>
    <w:sectPr w:rsidR="00FC693F" w:rsidRPr="0006063C" w:rsidSect="00034616">
      <w:headerReference w:type="default" r:id="rId10"/>
      <w:footerReference w:type="default" r:id="rId11"/>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rPr>
        <w:rFonts w:ascii="Calibri" w:hAnsi="Calibri"/>
        <w:i/>
        <w:color w:val="525866"/>
        <w:sz w:val="20"/>
      </w:rPr>
      <w:t>We do the work, you make the call</w:t>
    </w:r>
    <w:r>
      <w:tab/>
    </w:r>
    <w:r>
      <w:rPr>
        <w:rFonts w:ascii="Calibri" w:hAnsi="Calibri"/>
        <w:i/>
        <w:color w:val="FB9120"/>
        <w:sz w:val="20"/>
      </w:rPr>
      <w:t>app.implied.com/trial</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drawing>
        <wp:inline xmlns:a="http://schemas.openxmlformats.org/drawingml/2006/main" xmlns:pic="http://schemas.openxmlformats.org/drawingml/2006/picture">
          <wp:extent cx="5486400" cy="274320"/>
          <wp:docPr id="1" name="Picture 1"/>
          <wp:cNvGraphicFramePr>
            <a:graphicFrameLocks noChangeAspect="1"/>
          </wp:cNvGraphicFramePr>
          <a:graphic>
            <a:graphicData uri="http://schemas.openxmlformats.org/drawingml/2006/picture">
              <pic:pic>
                <pic:nvPicPr>
                  <pic:cNvPr id="0" name="ImpliedPromotionalHeader.png"/>
                  <pic:cNvPicPr/>
                </pic:nvPicPr>
                <pic:blipFill>
                  <a:blip r:embed="rId1"/>
                  <a:stretch>
                    <a:fillRect/>
                  </a:stretch>
                </pic:blipFill>
                <pic:spPr>
                  <a:xfrm>
                    <a:off x="0" y="0"/>
                    <a:ext cx="5486400" cy="274320"/>
                  </a:xfrm>
                  <a:prstGeom prst="rect"/>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Calibri" w:hAnsi="Calibri"/>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header" Target="header1.xml"/><Relationship Id="rId11"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