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Lam Research Corporation (LRCX)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Lam Research Corporation</w:t>
            </w:r>
          </w:p>
        </w:tc>
      </w:tr>
      <w:tr>
        <w:tc>
          <w:tcPr>
            <w:tcW w:type="dxa" w:w="4320"/>
          </w:tcPr>
          <w:p>
            <w:r>
              <w:rPr>
                <w:rFonts w:ascii="Calibri" w:hAnsi="Calibri"/>
                <w:b/>
                <w:sz w:val="22"/>
              </w:rPr>
              <w:t>Ticker</w:t>
            </w:r>
          </w:p>
        </w:tc>
        <w:tc>
          <w:tcPr>
            <w:tcW w:type="dxa" w:w="4320"/>
          </w:tcPr>
          <w:p>
            <w:r>
              <w:rPr>
                <w:rFonts w:ascii="Calibri" w:hAnsi="Calibri"/>
                <w:sz w:val="22"/>
              </w:rPr>
              <w:t>LRCX (NASDAQ)</w:t>
            </w:r>
          </w:p>
        </w:tc>
      </w:tr>
      <w:tr>
        <w:tc>
          <w:tcPr>
            <w:tcW w:type="dxa" w:w="4320"/>
          </w:tcPr>
          <w:p>
            <w:r>
              <w:rPr>
                <w:rFonts w:ascii="Calibri" w:hAnsi="Calibri"/>
                <w:b/>
                <w:sz w:val="22"/>
              </w:rPr>
              <w:t>Reporting Period</w:t>
            </w:r>
          </w:p>
        </w:tc>
        <w:tc>
          <w:tcPr>
            <w:tcW w:type="dxa" w:w="4320"/>
          </w:tcPr>
          <w:p>
            <w:r>
              <w:rPr>
                <w:rFonts w:ascii="Calibri" w:hAnsi="Calibri"/>
                <w:sz w:val="22"/>
              </w:rPr>
              <w:t>Fiscal Q4 2026 (Quarter ending June 28, 2026)</w:t>
            </w:r>
          </w:p>
        </w:tc>
      </w:tr>
      <w:tr>
        <w:tc>
          <w:tcPr>
            <w:tcW w:type="dxa" w:w="4320"/>
          </w:tcPr>
          <w:p>
            <w:r>
              <w:rPr>
                <w:rFonts w:ascii="Calibri" w:hAnsi="Calibri"/>
                <w:b/>
                <w:sz w:val="22"/>
              </w:rPr>
              <w:t>Earnings Date</w:t>
            </w:r>
          </w:p>
        </w:tc>
        <w:tc>
          <w:tcPr>
            <w:tcW w:type="dxa" w:w="4320"/>
          </w:tcPr>
          <w:p>
            <w:r>
              <w:rPr>
                <w:rFonts w:ascii="Calibri" w:hAnsi="Calibri"/>
                <w:sz w:val="22"/>
              </w:rPr>
              <w:t>July 29, 2026 (after market close)</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LRCX’s June quarter print is constructive — consensus sits below the midpoint of guidance on revenue and EPS, creating a low bar — but the stock has already sold off sharply from its June highs, meaning the market is pricing in execution risk rather than a beat, and the single biggest swing factor is whether management raises its WFE outlook above $140B and provides a bullish 2027 framework.</w:t>
      </w:r>
    </w:p>
    <w:p>
      <w:r>
        <w:rPr>
          <w:rFonts w:ascii="Calibri" w:hAnsi="Calibri"/>
          <w:b/>
          <w:color w:val="525866"/>
          <w:sz w:val="22"/>
        </w:rPr>
        <w:t xml:space="preserve">Bar: </w:t>
      </w:r>
      <w:r>
        <w:rPr>
          <w:rFonts w:ascii="Calibri" w:hAnsi="Calibri"/>
          <w:color w:val="525866"/>
          <w:sz w:val="22"/>
        </w:rPr>
        <w:t xml:space="preserve">Consensus revenue of ~$6.69B sits essentially at the midpoint of guidance ($6.60B ± $400M), while consensus EPS of ~$1.70 is modestly above the guided midpoint of $1.65 ± $0.15 — a bar that is neither demanding nor particularly low, but one that Lam has cleared in each of the last several quarters by beating the top end of its own range. </w:t>
      </w:r>
      <w:r>
        <w:rPr>
          <w:rFonts w:ascii="Calibri" w:hAnsi="Calibri"/>
          <w:b/>
          <w:color w:val="525866"/>
          <w:sz w:val="22"/>
        </w:rPr>
        <w:t>The bar is beatable</w:t>
      </w:r>
      <w:r>
        <w:rPr>
          <w:rFonts w:ascii="Calibri" w:hAnsi="Calibri"/>
          <w:color w:val="525866"/>
          <w:sz w:val="22"/>
        </w:rPr>
        <w:t xml:space="preserve"> given the company’s track record of conservative guidance.</w:t>
      </w:r>
    </w:p>
    <w:p>
      <w:r>
        <w:rPr>
          <w:rFonts w:ascii="Calibri" w:hAnsi="Calibri"/>
          <w:b/>
          <w:color w:val="525866"/>
          <w:sz w:val="22"/>
        </w:rPr>
        <w:t xml:space="preserve">Guidance/Tone: </w:t>
      </w:r>
      <w:r>
        <w:rPr>
          <w:rFonts w:ascii="Calibri" w:hAnsi="Calibri"/>
          <w:color w:val="525866"/>
          <w:sz w:val="22"/>
        </w:rPr>
        <w:t>Management’s posture has been emphatically bullish since the April 22 print, when it raised the 2026 WFE outlook to $140B with an upside bias, guided June-quarter revenue to a record $6.6B, and explicitly stated that second-half revenues would exceed first-half. No post-earnings guidance revision has been issued, so the April call remains the baseline. The tone has not shifted — if anything, peer commentary from ASML (July 15) and KLAC (July 28) has reinforced the demand environment.</w:t>
      </w:r>
    </w:p>
    <w:p>
      <w:r>
        <w:rPr>
          <w:rFonts w:ascii="Calibri" w:hAnsi="Calibri"/>
          <w:b/>
          <w:color w:val="525866"/>
          <w:sz w:val="22"/>
        </w:rPr>
        <w:t xml:space="preserve">Estimate Trajectory: </w:t>
      </w:r>
      <w:r>
        <w:rPr>
          <w:rFonts w:ascii="Calibri" w:hAnsi="Calibri"/>
          <w:color w:val="525866"/>
          <w:sz w:val="22"/>
        </w:rPr>
        <w:t>Consensus revenue for the June quarter has drifted modestly higher since the April print ($6.654B on May 1 to $6.690B today), and FY2027 EPS estimates have risen from $7.91 to $8.16 over the same period — a steady upward revision trend that tracks with management’s bullish commentary and peer read-throughs. Revisions are moving with guidance, not diverging, suggesting the gap between consensus and guidance represents cushion rather than risk.</w:t>
      </w:r>
    </w:p>
    <w:p>
      <w:r>
        <w:rPr>
          <w:rFonts w:ascii="Calibri" w:hAnsi="Calibri"/>
          <w:b/>
          <w:color w:val="525866"/>
          <w:sz w:val="22"/>
        </w:rPr>
        <w:t xml:space="preserve">Stock Setup: </w:t>
      </w:r>
      <w:r>
        <w:rPr>
          <w:rFonts w:ascii="Calibri" w:hAnsi="Calibri"/>
          <w:color w:val="525866"/>
          <w:sz w:val="22"/>
        </w:rPr>
        <w:t>LRCX has dramatically underperformed since its June 30 peak of ~$433, falling ~38% to ~$270 as of July 29 — a move driven almost entirely by multiple compression (NTM P/E contracted from ~50x to ~35x over the past month) rather than estimate cuts. The stock is now trading at a meaningful discount to its recent range, suggesting the market has already priced in significant risk. A clean beat-and-raise could catalyze a sharp re-rating.</w:t>
      </w:r>
    </w:p>
    <w:p>
      <w:r>
        <w:rPr>
          <w:rFonts w:ascii="Calibri" w:hAnsi="Calibri"/>
          <w:b/>
          <w:color w:val="525866"/>
          <w:sz w:val="22"/>
        </w:rPr>
        <w:t xml:space="preserve">Wildcard: </w:t>
      </w:r>
      <w:r>
        <w:rPr>
          <w:rFonts w:ascii="Calibri" w:hAnsi="Calibri"/>
          <w:color w:val="525866"/>
          <w:sz w:val="22"/>
        </w:rPr>
        <w:t xml:space="preserve">The single biggest wildcard is the </w:t>
      </w:r>
      <w:r>
        <w:rPr>
          <w:rFonts w:ascii="Calibri" w:hAnsi="Calibri"/>
          <w:b/>
          <w:color w:val="525866"/>
          <w:sz w:val="22"/>
        </w:rPr>
        <w:t>WFE outlook update and 2027 framework</w:t>
      </w:r>
      <w:r>
        <w:rPr>
          <w:rFonts w:ascii="Calibri" w:hAnsi="Calibri"/>
          <w:color w:val="525866"/>
          <w:sz w:val="22"/>
        </w:rPr>
        <w:t>. KLAC raised its WFE estimate to the “low $150B range” for 2026 (from $140B+) and cited a consensus 2027 WFE view of ~$190B on its July 28 call — if Lam adopts similar language and provides an updated long-term financial model (which management committed to doing later in 2026), the stock could re-rate sharply higher. Conversely, any softening on China or gross margin trajectory would be a negative surprise.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at or just above the midpoint of guidance on all key metrics, creating a low-to-moderate bar that Lam has consistently cleared. </w:t>
      </w:r>
      <w:r>
        <w:rPr>
          <w:rFonts w:ascii="Calibri" w:hAnsi="Calibri"/>
          <w:b/>
          <w:color w:val="525866"/>
          <w:sz w:val="22"/>
        </w:rPr>
        <w:t>Revenue and EPS are the primary swing factors</w:t>
      </w:r>
      <w:r>
        <w:rPr>
          <w:rFonts w:ascii="Calibri" w:hAnsi="Calibri"/>
          <w:color w:val="525866"/>
          <w:sz w:val="22"/>
        </w:rPr>
        <w:t>; gross margin trajectory (guided ~50.5%) will be closely watched given management’s commentary that near-term mix headwinds from large-customer concentration will keep margins roughly flat through year-end.</w:t>
      </w:r>
    </w:p>
    <w:p>
      <w:pPr>
        <w:pStyle w:val="Heading3"/>
      </w:pPr>
      <w:r>
        <w:rPr>
          <w:rFonts w:ascii="Calibri" w:hAnsi="Calibri"/>
          <w:b/>
          <w:color w:val="3B4259"/>
          <w:sz w:val="24"/>
        </w:rPr>
        <w:t>Table 1 — Current Quarter Snapshot (FQ4 2026, Quarter Ending June 28,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(FQ3 2026, Mar-26)</w:t>
            </w:r>
          </w:p>
        </w:tc>
        <w:tc>
          <w:tcPr>
            <w:tcW w:type="dxa" w:w="1234"/>
            <w:shd w:val="clear" w:color="auto" w:fill="3B4259"/>
          </w:tcPr>
          <w:p>
            <w:r>
              <w:rPr>
                <w:rFonts w:ascii="Calibri" w:hAnsi="Calibri"/>
                <w:b/>
                <w:color w:val="FFFFFF"/>
                <w:sz w:val="22"/>
              </w:rPr>
              <w:t>Prior Year Period (FQ4 2025, Jun-25)</w:t>
            </w:r>
          </w:p>
        </w:tc>
        <w:tc>
          <w:tcPr>
            <w:tcW w:type="dxa" w:w="1234"/>
            <w:shd w:val="clear" w:color="auto" w:fill="3B4259"/>
          </w:tcPr>
          <w:p>
            <w:r>
              <w:rPr>
                <w:rFonts w:ascii="Calibri" w:hAnsi="Calibri"/>
                <w:b/>
                <w:color w:val="FFFFFF"/>
                <w:sz w:val="22"/>
              </w:rPr>
              <w:t>Consensus Estimate (FQ4 2026)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Total Revenue ($B)</w:t>
            </w:r>
          </w:p>
        </w:tc>
        <w:tc>
          <w:tcPr>
            <w:tcW w:type="dxa" w:w="1234"/>
          </w:tcPr>
          <w:p>
            <w:r>
              <w:rPr>
                <w:rFonts w:ascii="Calibri" w:hAnsi="Calibri"/>
                <w:sz w:val="22"/>
              </w:rPr>
              <w:t>$5.841B</w:t>
            </w:r>
          </w:p>
        </w:tc>
        <w:tc>
          <w:tcPr>
            <w:tcW w:type="dxa" w:w="1234"/>
          </w:tcPr>
          <w:p>
            <w:r>
              <w:rPr>
                <w:rFonts w:ascii="Calibri" w:hAnsi="Calibri"/>
                <w:sz w:val="22"/>
              </w:rPr>
              <w:t>$5.171B</w:t>
            </w:r>
          </w:p>
        </w:tc>
        <w:tc>
          <w:tcPr>
            <w:tcW w:type="dxa" w:w="1234"/>
          </w:tcPr>
          <w:p>
            <w:r>
              <w:rPr>
                <w:rFonts w:ascii="Calibri" w:hAnsi="Calibri"/>
                <w:sz w:val="22"/>
              </w:rPr>
              <w:t>$6.690B</w:t>
            </w:r>
          </w:p>
        </w:tc>
        <w:tc>
          <w:tcPr>
            <w:tcW w:type="dxa" w:w="1234"/>
          </w:tcPr>
          <w:p>
            <w:r>
              <w:rPr>
                <w:rFonts w:ascii="Calibri" w:hAnsi="Calibri"/>
                <w:sz w:val="22"/>
              </w:rPr>
              <w:t>+29.4%</w:t>
            </w:r>
          </w:p>
        </w:tc>
        <w:tc>
          <w:tcPr>
            <w:tcW w:type="dxa" w:w="1234"/>
          </w:tcPr>
          <w:p>
            <w:r>
              <w:rPr>
                <w:rFonts w:ascii="Calibri" w:hAnsi="Calibri"/>
                <w:sz w:val="22"/>
              </w:rPr>
              <w:t>$6.600B</w:t>
            </w:r>
          </w:p>
        </w:tc>
        <w:tc>
          <w:tcPr>
            <w:tcW w:type="dxa" w:w="1234"/>
          </w:tcPr>
          <w:p>
            <w:r>
              <w:rPr>
                <w:rFonts w:ascii="Calibri" w:hAnsi="Calibri"/>
                <w:sz w:val="22"/>
              </w:rPr>
              <w:t>+1.4%</w:t>
            </w:r>
          </w:p>
        </w:tc>
      </w:tr>
      <w:tr>
        <w:tc>
          <w:tcPr>
            <w:tcW w:type="dxa" w:w="1234"/>
          </w:tcPr>
          <w:p>
            <w:r>
              <w:rPr>
                <w:rFonts w:ascii="Calibri" w:hAnsi="Calibri"/>
                <w:sz w:val="22"/>
              </w:rPr>
              <w:t>EPS — Diluted Operating ($)</w:t>
            </w:r>
          </w:p>
        </w:tc>
        <w:tc>
          <w:tcPr>
            <w:tcW w:type="dxa" w:w="1234"/>
          </w:tcPr>
          <w:p>
            <w:r>
              <w:rPr>
                <w:rFonts w:ascii="Calibri" w:hAnsi="Calibri"/>
                <w:sz w:val="22"/>
              </w:rPr>
              <w:t>$1.47</w:t>
            </w:r>
          </w:p>
        </w:tc>
        <w:tc>
          <w:tcPr>
            <w:tcW w:type="dxa" w:w="1234"/>
          </w:tcPr>
          <w:p>
            <w:r>
              <w:rPr>
                <w:rFonts w:ascii="Calibri" w:hAnsi="Calibri"/>
                <w:sz w:val="22"/>
              </w:rPr>
              <w:t>$1.33</w:t>
            </w:r>
          </w:p>
        </w:tc>
        <w:tc>
          <w:tcPr>
            <w:tcW w:type="dxa" w:w="1234"/>
          </w:tcPr>
          <w:p>
            <w:r>
              <w:rPr>
                <w:rFonts w:ascii="Calibri" w:hAnsi="Calibri"/>
                <w:sz w:val="22"/>
              </w:rPr>
              <w:t>$1.697</w:t>
            </w:r>
          </w:p>
        </w:tc>
        <w:tc>
          <w:tcPr>
            <w:tcW w:type="dxa" w:w="1234"/>
          </w:tcPr>
          <w:p>
            <w:r>
              <w:rPr>
                <w:rFonts w:ascii="Calibri" w:hAnsi="Calibri"/>
                <w:sz w:val="22"/>
              </w:rPr>
              <w:t>+27.6%</w:t>
            </w:r>
          </w:p>
        </w:tc>
        <w:tc>
          <w:tcPr>
            <w:tcW w:type="dxa" w:w="1234"/>
          </w:tcPr>
          <w:p>
            <w:r>
              <w:rPr>
                <w:rFonts w:ascii="Calibri" w:hAnsi="Calibri"/>
                <w:sz w:val="22"/>
              </w:rPr>
              <w:t>$1.65</w:t>
            </w:r>
          </w:p>
        </w:tc>
        <w:tc>
          <w:tcPr>
            <w:tcW w:type="dxa" w:w="1234"/>
          </w:tcPr>
          <w:p>
            <w:r>
              <w:rPr>
                <w:rFonts w:ascii="Calibri" w:hAnsi="Calibri"/>
                <w:sz w:val="22"/>
              </w:rPr>
              <w:t>+2.8%</w:t>
            </w:r>
          </w:p>
        </w:tc>
      </w:tr>
      <w:tr>
        <w:tc>
          <w:tcPr>
            <w:tcW w:type="dxa" w:w="1234"/>
          </w:tcPr>
          <w:p>
            <w:r>
              <w:rPr>
                <w:rFonts w:ascii="Calibri" w:hAnsi="Calibri"/>
                <w:sz w:val="22"/>
              </w:rPr>
              <w:t>Gross Margin — Operating ($B)</w:t>
            </w:r>
          </w:p>
        </w:tc>
        <w:tc>
          <w:tcPr>
            <w:tcW w:type="dxa" w:w="1234"/>
          </w:tcPr>
          <w:p>
            <w:r>
              <w:rPr>
                <w:rFonts w:ascii="Calibri" w:hAnsi="Calibri"/>
                <w:sz w:val="22"/>
              </w:rPr>
              <w:t>$2.913B (49.9%)</w:t>
            </w:r>
          </w:p>
        </w:tc>
        <w:tc>
          <w:tcPr>
            <w:tcW w:type="dxa" w:w="1234"/>
          </w:tcPr>
          <w:p>
            <w:r>
              <w:rPr>
                <w:rFonts w:ascii="Calibri" w:hAnsi="Calibri"/>
                <w:sz w:val="22"/>
              </w:rPr>
              <w:t>$2.601B (50.3%)</w:t>
            </w:r>
          </w:p>
        </w:tc>
        <w:tc>
          <w:tcPr>
            <w:tcW w:type="dxa" w:w="1234"/>
          </w:tcPr>
          <w:p>
            <w:r>
              <w:rPr>
                <w:rFonts w:ascii="Calibri" w:hAnsi="Calibri"/>
                <w:sz w:val="22"/>
              </w:rPr>
              <w:t>$3.393B (~50.7%)</w:t>
            </w:r>
          </w:p>
        </w:tc>
        <w:tc>
          <w:tcPr>
            <w:tcW w:type="dxa" w:w="1234"/>
          </w:tcPr>
          <w:p>
            <w:r>
              <w:rPr>
                <w:rFonts w:ascii="Calibri" w:hAnsi="Calibri"/>
                <w:sz w:val="22"/>
              </w:rPr>
              <w:t>+30.4%</w:t>
            </w:r>
          </w:p>
        </w:tc>
        <w:tc>
          <w:tcPr>
            <w:tcW w:type="dxa" w:w="1234"/>
          </w:tcPr>
          <w:p>
            <w:r>
              <w:rPr>
                <w:rFonts w:ascii="Calibri" w:hAnsi="Calibri"/>
                <w:sz w:val="22"/>
              </w:rPr>
              <w:t>~50.5% (±1%)</w:t>
            </w:r>
          </w:p>
        </w:tc>
        <w:tc>
          <w:tcPr>
            <w:tcW w:type="dxa" w:w="1234"/>
          </w:tcPr>
          <w:p>
            <w:r>
              <w:rPr>
                <w:rFonts w:ascii="Calibri" w:hAnsi="Calibri"/>
                <w:sz w:val="22"/>
              </w:rPr>
              <w:t>+0.2pp vs. midpoint</w:t>
            </w:r>
          </w:p>
        </w:tc>
      </w:tr>
      <w:tr>
        <w:tc>
          <w:tcPr>
            <w:tcW w:type="dxa" w:w="1234"/>
          </w:tcPr>
          <w:p>
            <w:r>
              <w:rPr>
                <w:rFonts w:ascii="Calibri" w:hAnsi="Calibri"/>
                <w:sz w:val="22"/>
              </w:rPr>
              <w:t>Systems Revenue ($B)</w:t>
            </w:r>
          </w:p>
        </w:tc>
        <w:tc>
          <w:tcPr>
            <w:tcW w:type="dxa" w:w="1234"/>
          </w:tcPr>
          <w:p>
            <w:r>
              <w:rPr>
                <w:rFonts w:ascii="Calibri" w:hAnsi="Calibri"/>
                <w:sz w:val="22"/>
              </w:rPr>
              <w:t>$3.731B</w:t>
            </w:r>
          </w:p>
        </w:tc>
        <w:tc>
          <w:tcPr>
            <w:tcW w:type="dxa" w:w="1234"/>
          </w:tcPr>
          <w:p>
            <w:r>
              <w:rPr>
                <w:rFonts w:ascii="Calibri" w:hAnsi="Calibri"/>
                <w:sz w:val="22"/>
              </w:rPr>
              <w:t>$3.438B</w:t>
            </w:r>
          </w:p>
        </w:tc>
        <w:tc>
          <w:tcPr>
            <w:tcW w:type="dxa" w:w="1234"/>
          </w:tcPr>
          <w:p>
            <w:r>
              <w:rPr>
                <w:rFonts w:ascii="Calibri" w:hAnsi="Calibri"/>
                <w:sz w:val="22"/>
              </w:rPr>
              <w:t>$4.545B</w:t>
            </w:r>
          </w:p>
        </w:tc>
        <w:tc>
          <w:tcPr>
            <w:tcW w:type="dxa" w:w="1234"/>
          </w:tcPr>
          <w:p>
            <w:r>
              <w:rPr>
                <w:rFonts w:ascii="Calibri" w:hAnsi="Calibri"/>
                <w:sz w:val="22"/>
              </w:rPr>
              <w:t>+32.2%</w:t>
            </w:r>
          </w:p>
        </w:tc>
        <w:tc>
          <w:tcPr>
            <w:tcW w:type="dxa" w:w="1234"/>
          </w:tcPr>
          <w:p>
            <w:r>
              <w:rPr>
                <w:rFonts w:ascii="Calibri" w:hAnsi="Calibri"/>
                <w:sz w:val="22"/>
              </w:rPr>
              <w:t>N/A — not guided separately</w:t>
            </w:r>
          </w:p>
        </w:tc>
        <w:tc>
          <w:tcPr>
            <w:tcW w:type="dxa" w:w="1234"/>
          </w:tcPr>
          <w:p>
            <w:r>
              <w:rPr>
                <w:rFonts w:ascii="Calibri" w:hAnsi="Calibri"/>
                <w:sz w:val="22"/>
              </w:rPr>
              <w:t>N/A</w:t>
            </w:r>
          </w:p>
        </w:tc>
      </w:tr>
      <w:tr>
        <w:tc>
          <w:tcPr>
            <w:tcW w:type="dxa" w:w="1234"/>
          </w:tcPr>
          <w:p>
            <w:r>
              <w:rPr>
                <w:rFonts w:ascii="Calibri" w:hAnsi="Calibri"/>
                <w:sz w:val="22"/>
              </w:rPr>
              <w:t>CSBG Revenue ($B)</w:t>
            </w:r>
          </w:p>
        </w:tc>
        <w:tc>
          <w:tcPr>
            <w:tcW w:type="dxa" w:w="1234"/>
          </w:tcPr>
          <w:p>
            <w:r>
              <w:rPr>
                <w:rFonts w:ascii="Calibri" w:hAnsi="Calibri"/>
                <w:sz w:val="22"/>
              </w:rPr>
              <w:t>$2.111B</w:t>
            </w:r>
          </w:p>
        </w:tc>
        <w:tc>
          <w:tcPr>
            <w:tcW w:type="dxa" w:w="1234"/>
          </w:tcPr>
          <w:p>
            <w:r>
              <w:rPr>
                <w:rFonts w:ascii="Calibri" w:hAnsi="Calibri"/>
                <w:sz w:val="22"/>
              </w:rPr>
              <w:t>$1.734B</w:t>
            </w:r>
          </w:p>
        </w:tc>
        <w:tc>
          <w:tcPr>
            <w:tcW w:type="dxa" w:w="1234"/>
          </w:tcPr>
          <w:p>
            <w:r>
              <w:rPr>
                <w:rFonts w:ascii="Calibri" w:hAnsi="Calibri"/>
                <w:sz w:val="22"/>
              </w:rPr>
              <w:t>$2.154B</w:t>
            </w:r>
          </w:p>
        </w:tc>
        <w:tc>
          <w:tcPr>
            <w:tcW w:type="dxa" w:w="1234"/>
          </w:tcPr>
          <w:p>
            <w:r>
              <w:rPr>
                <w:rFonts w:ascii="Calibri" w:hAnsi="Calibri"/>
                <w:sz w:val="22"/>
              </w:rPr>
              <w:t>+24.2%</w:t>
            </w:r>
          </w:p>
        </w:tc>
        <w:tc>
          <w:tcPr>
            <w:tcW w:type="dxa" w:w="1234"/>
          </w:tcPr>
          <w:p>
            <w:r>
              <w:rPr>
                <w:rFonts w:ascii="Calibri" w:hAnsi="Calibri"/>
                <w:sz w:val="22"/>
              </w:rPr>
              <w:t>~flat to slightly up (mgmt commentary)</w:t>
            </w:r>
          </w:p>
        </w:tc>
        <w:tc>
          <w:tcPr>
            <w:tcW w:type="dxa" w:w="1234"/>
          </w:tcPr>
          <w:p>
            <w:r>
              <w:rPr>
                <w:rFonts w:ascii="Calibri" w:hAnsi="Calibri"/>
                <w:sz w:val="22"/>
              </w:rPr>
              <w:t>~+2%</w:t>
            </w:r>
          </w:p>
        </w:tc>
      </w:tr>
    </w:tbl>
    <w:p>
      <w:r>
        <w:rPr>
          <w:rFonts w:ascii="Calibri" w:hAnsi="Calibri"/>
          <w:color w:val="525866"/>
          <w:sz w:val="22"/>
        </w:rPr>
        <w:t>Source: Visible Alpha Consensus and Actuals Data. All consensus figures as of July 28, 2026. Guidance from LRCX FQ3 2026 Earnings Call (April 22, 2026) and Earnings Release.</w:t>
      </w:r>
    </w:p>
    <w:p>
      <w:pPr>
        <w:pStyle w:val="Heading3"/>
      </w:pPr>
      <w:r>
        <w:rPr>
          <w:rFonts w:ascii="Calibri" w:hAnsi="Calibri"/>
          <w:b/>
          <w:color w:val="3B4259"/>
          <w:sz w:val="24"/>
        </w:rPr>
        <w:t>Table 2 — Beat/Miss History (Last 8 Quarters — Top 2 KPIs: Revenue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FQ3 2026 (Mar-26)</w:t>
            </w:r>
          </w:p>
        </w:tc>
        <w:tc>
          <w:tcPr>
            <w:tcW w:type="dxa" w:w="1440"/>
          </w:tcPr>
          <w:p>
            <w:r>
              <w:rPr>
                <w:rFonts w:ascii="Calibri" w:hAnsi="Calibri"/>
                <w:sz w:val="22"/>
              </w:rPr>
              <w:t>Revenue</w:t>
            </w:r>
          </w:p>
        </w:tc>
        <w:tc>
          <w:tcPr>
            <w:tcW w:type="dxa" w:w="1440"/>
          </w:tcPr>
          <w:p>
            <w:r>
              <w:rPr>
                <w:rFonts w:ascii="Calibri" w:hAnsi="Calibri"/>
                <w:sz w:val="22"/>
              </w:rPr>
              <w:t>$5.841B</w:t>
            </w:r>
          </w:p>
        </w:tc>
        <w:tc>
          <w:tcPr>
            <w:tcW w:type="dxa" w:w="1440"/>
          </w:tcPr>
          <w:p>
            <w:r>
              <w:rPr>
                <w:rFonts w:ascii="Calibri" w:hAnsi="Calibri"/>
                <w:sz w:val="22"/>
              </w:rPr>
              <w:t>$5.742B</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FQ3 2026 (Mar-26)</w:t>
            </w:r>
          </w:p>
        </w:tc>
        <w:tc>
          <w:tcPr>
            <w:tcW w:type="dxa" w:w="1440"/>
          </w:tcPr>
          <w:p>
            <w:r>
              <w:rPr>
                <w:rFonts w:ascii="Calibri" w:hAnsi="Calibri"/>
                <w:sz w:val="22"/>
              </w:rPr>
              <w:t>Op. EPS</w:t>
            </w:r>
          </w:p>
        </w:tc>
        <w:tc>
          <w:tcPr>
            <w:tcW w:type="dxa" w:w="1440"/>
          </w:tcPr>
          <w:p>
            <w:r>
              <w:rPr>
                <w:rFonts w:ascii="Calibri" w:hAnsi="Calibri"/>
                <w:sz w:val="22"/>
              </w:rPr>
              <w:t>$1.47</w:t>
            </w:r>
          </w:p>
        </w:tc>
        <w:tc>
          <w:tcPr>
            <w:tcW w:type="dxa" w:w="1440"/>
          </w:tcPr>
          <w:p>
            <w:r>
              <w:rPr>
                <w:rFonts w:ascii="Calibri" w:hAnsi="Calibri"/>
                <w:sz w:val="22"/>
              </w:rPr>
              <w:t>$1.361</w:t>
            </w:r>
          </w:p>
        </w:tc>
        <w:tc>
          <w:tcPr>
            <w:tcW w:type="dxa" w:w="1440"/>
          </w:tcPr>
          <w:p>
            <w:r>
              <w:rPr>
                <w:rFonts w:ascii="Calibri" w:hAnsi="Calibri"/>
                <w:b/>
                <w:color w:val="30A46C"/>
                <w:sz w:val="22"/>
              </w:rPr>
              <w:t>+8.0%</w:t>
            </w:r>
          </w:p>
        </w:tc>
        <w:tc>
          <w:tcPr>
            <w:tcW w:type="dxa" w:w="1440"/>
          </w:tcPr>
          <w:p>
            <w:r>
              <w:rPr>
                <w:rFonts w:ascii="Calibri" w:hAnsi="Calibri"/>
                <w:sz w:val="22"/>
              </w:rPr>
              <w:t>Beat</w:t>
            </w:r>
          </w:p>
        </w:tc>
      </w:tr>
      <w:tr>
        <w:tc>
          <w:tcPr>
            <w:tcW w:type="dxa" w:w="1440"/>
          </w:tcPr>
          <w:p>
            <w:r>
              <w:rPr>
                <w:rFonts w:ascii="Calibri" w:hAnsi="Calibri"/>
                <w:sz w:val="22"/>
              </w:rPr>
              <w:t>FQ2 2026 (Dec-25)</w:t>
            </w:r>
          </w:p>
        </w:tc>
        <w:tc>
          <w:tcPr>
            <w:tcW w:type="dxa" w:w="1440"/>
          </w:tcPr>
          <w:p>
            <w:r>
              <w:rPr>
                <w:rFonts w:ascii="Calibri" w:hAnsi="Calibri"/>
                <w:sz w:val="22"/>
              </w:rPr>
              <w:t>Revenue</w:t>
            </w:r>
          </w:p>
        </w:tc>
        <w:tc>
          <w:tcPr>
            <w:tcW w:type="dxa" w:w="1440"/>
          </w:tcPr>
          <w:p>
            <w:r>
              <w:rPr>
                <w:rFonts w:ascii="Calibri" w:hAnsi="Calibri"/>
                <w:sz w:val="22"/>
              </w:rPr>
              <w:t>$5.345B</w:t>
            </w:r>
          </w:p>
        </w:tc>
        <w:tc>
          <w:tcPr>
            <w:tcW w:type="dxa" w:w="1440"/>
          </w:tcPr>
          <w:p>
            <w:r>
              <w:rPr>
                <w:rFonts w:ascii="Calibri" w:hAnsi="Calibri"/>
                <w:sz w:val="22"/>
              </w:rPr>
              <w:t>$5.251B</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FQ2 2026 (Dec-25)</w:t>
            </w:r>
          </w:p>
        </w:tc>
        <w:tc>
          <w:tcPr>
            <w:tcW w:type="dxa" w:w="1440"/>
          </w:tcPr>
          <w:p>
            <w:r>
              <w:rPr>
                <w:rFonts w:ascii="Calibri" w:hAnsi="Calibri"/>
                <w:sz w:val="22"/>
              </w:rPr>
              <w:t>Op. EPS</w:t>
            </w:r>
          </w:p>
        </w:tc>
        <w:tc>
          <w:tcPr>
            <w:tcW w:type="dxa" w:w="1440"/>
          </w:tcPr>
          <w:p>
            <w:r>
              <w:rPr>
                <w:rFonts w:ascii="Calibri" w:hAnsi="Calibri"/>
                <w:sz w:val="22"/>
              </w:rPr>
              <w:t>$1.27</w:t>
            </w:r>
          </w:p>
        </w:tc>
        <w:tc>
          <w:tcPr>
            <w:tcW w:type="dxa" w:w="1440"/>
          </w:tcPr>
          <w:p>
            <w:r>
              <w:rPr>
                <w:rFonts w:ascii="Calibri" w:hAnsi="Calibri"/>
                <w:sz w:val="22"/>
              </w:rPr>
              <w:t>$1.180</w:t>
            </w:r>
          </w:p>
        </w:tc>
        <w:tc>
          <w:tcPr>
            <w:tcW w:type="dxa" w:w="1440"/>
          </w:tcPr>
          <w:p>
            <w:r>
              <w:rPr>
                <w:rFonts w:ascii="Calibri" w:hAnsi="Calibri"/>
                <w:b/>
                <w:color w:val="30A46C"/>
                <w:sz w:val="22"/>
              </w:rPr>
              <w:t>+7.6%</w:t>
            </w:r>
          </w:p>
        </w:tc>
        <w:tc>
          <w:tcPr>
            <w:tcW w:type="dxa" w:w="1440"/>
          </w:tcPr>
          <w:p>
            <w:r>
              <w:rPr>
                <w:rFonts w:ascii="Calibri" w:hAnsi="Calibri"/>
                <w:sz w:val="22"/>
              </w:rPr>
              <w:t>Beat</w:t>
            </w:r>
          </w:p>
        </w:tc>
      </w:tr>
      <w:tr>
        <w:tc>
          <w:tcPr>
            <w:tcW w:type="dxa" w:w="1440"/>
          </w:tcPr>
          <w:p>
            <w:r>
              <w:rPr>
                <w:rFonts w:ascii="Calibri" w:hAnsi="Calibri"/>
                <w:sz w:val="22"/>
              </w:rPr>
              <w:t>FQ1 2026 (Sep-25)</w:t>
            </w:r>
          </w:p>
        </w:tc>
        <w:tc>
          <w:tcPr>
            <w:tcW w:type="dxa" w:w="1440"/>
          </w:tcPr>
          <w:p>
            <w:r>
              <w:rPr>
                <w:rFonts w:ascii="Calibri" w:hAnsi="Calibri"/>
                <w:sz w:val="22"/>
              </w:rPr>
              <w:t>Revenue</w:t>
            </w:r>
          </w:p>
        </w:tc>
        <w:tc>
          <w:tcPr>
            <w:tcW w:type="dxa" w:w="1440"/>
          </w:tcPr>
          <w:p>
            <w:r>
              <w:rPr>
                <w:rFonts w:ascii="Calibri" w:hAnsi="Calibri"/>
                <w:sz w:val="22"/>
              </w:rPr>
              <w:t>$5.324B</w:t>
            </w:r>
          </w:p>
        </w:tc>
        <w:tc>
          <w:tcPr>
            <w:tcW w:type="dxa" w:w="1440"/>
          </w:tcPr>
          <w:p>
            <w:r>
              <w:rPr>
                <w:rFonts w:ascii="Calibri" w:hAnsi="Calibri"/>
                <w:sz w:val="22"/>
              </w:rPr>
              <w:t>$5.240B</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FQ1 2026 (Sep-25)</w:t>
            </w:r>
          </w:p>
        </w:tc>
        <w:tc>
          <w:tcPr>
            <w:tcW w:type="dxa" w:w="1440"/>
          </w:tcPr>
          <w:p>
            <w:r>
              <w:rPr>
                <w:rFonts w:ascii="Calibri" w:hAnsi="Calibri"/>
                <w:sz w:val="22"/>
              </w:rPr>
              <w:t>Op. EPS</w:t>
            </w:r>
          </w:p>
        </w:tc>
        <w:tc>
          <w:tcPr>
            <w:tcW w:type="dxa" w:w="1440"/>
          </w:tcPr>
          <w:p>
            <w:r>
              <w:rPr>
                <w:rFonts w:ascii="Calibri" w:hAnsi="Calibri"/>
                <w:sz w:val="22"/>
              </w:rPr>
              <w:t>$1.26</w:t>
            </w:r>
          </w:p>
        </w:tc>
        <w:tc>
          <w:tcPr>
            <w:tcW w:type="dxa" w:w="1440"/>
          </w:tcPr>
          <w:p>
            <w:r>
              <w:rPr>
                <w:rFonts w:ascii="Calibri" w:hAnsi="Calibri"/>
                <w:sz w:val="22"/>
              </w:rPr>
              <w:t>$1.229</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FQ4 2025 (Jun-25)</w:t>
            </w:r>
          </w:p>
        </w:tc>
        <w:tc>
          <w:tcPr>
            <w:tcW w:type="dxa" w:w="1440"/>
          </w:tcPr>
          <w:p>
            <w:r>
              <w:rPr>
                <w:rFonts w:ascii="Calibri" w:hAnsi="Calibri"/>
                <w:sz w:val="22"/>
              </w:rPr>
              <w:t>Revenue</w:t>
            </w:r>
          </w:p>
        </w:tc>
        <w:tc>
          <w:tcPr>
            <w:tcW w:type="dxa" w:w="1440"/>
          </w:tcPr>
          <w:p>
            <w:r>
              <w:rPr>
                <w:rFonts w:ascii="Calibri" w:hAnsi="Calibri"/>
                <w:sz w:val="22"/>
              </w:rPr>
              <w:t>$5.171B</w:t>
            </w:r>
          </w:p>
        </w:tc>
        <w:tc>
          <w:tcPr>
            <w:tcW w:type="dxa" w:w="1440"/>
          </w:tcPr>
          <w:p>
            <w:r>
              <w:rPr>
                <w:rFonts w:ascii="Calibri" w:hAnsi="Calibri"/>
                <w:sz w:val="22"/>
              </w:rPr>
              <w:t>$5.008B</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FQ4 2025 (Jun-25)</w:t>
            </w:r>
          </w:p>
        </w:tc>
        <w:tc>
          <w:tcPr>
            <w:tcW w:type="dxa" w:w="1440"/>
          </w:tcPr>
          <w:p>
            <w:r>
              <w:rPr>
                <w:rFonts w:ascii="Calibri" w:hAnsi="Calibri"/>
                <w:sz w:val="22"/>
              </w:rPr>
              <w:t>Op. EPS</w:t>
            </w:r>
          </w:p>
        </w:tc>
        <w:tc>
          <w:tcPr>
            <w:tcW w:type="dxa" w:w="1440"/>
          </w:tcPr>
          <w:p>
            <w:r>
              <w:rPr>
                <w:rFonts w:ascii="Calibri" w:hAnsi="Calibri"/>
                <w:sz w:val="22"/>
              </w:rPr>
              <w:t>$1.33</w:t>
            </w:r>
          </w:p>
        </w:tc>
        <w:tc>
          <w:tcPr>
            <w:tcW w:type="dxa" w:w="1440"/>
          </w:tcPr>
          <w:p>
            <w:r>
              <w:rPr>
                <w:rFonts w:ascii="Calibri" w:hAnsi="Calibri"/>
                <w:sz w:val="22"/>
              </w:rPr>
              <w:t>$1.214</w:t>
            </w:r>
          </w:p>
        </w:tc>
        <w:tc>
          <w:tcPr>
            <w:tcW w:type="dxa" w:w="1440"/>
          </w:tcPr>
          <w:p>
            <w:r>
              <w:rPr>
                <w:rFonts w:ascii="Calibri" w:hAnsi="Calibri"/>
                <w:b/>
                <w:color w:val="30A46C"/>
                <w:sz w:val="22"/>
              </w:rPr>
              <w:t>+9.6%</w:t>
            </w:r>
          </w:p>
        </w:tc>
        <w:tc>
          <w:tcPr>
            <w:tcW w:type="dxa" w:w="1440"/>
          </w:tcPr>
          <w:p>
            <w:r>
              <w:rPr>
                <w:rFonts w:ascii="Calibri" w:hAnsi="Calibri"/>
                <w:sz w:val="22"/>
              </w:rPr>
              <w:t>Beat</w:t>
            </w:r>
          </w:p>
        </w:tc>
      </w:tr>
      <w:tr>
        <w:tc>
          <w:tcPr>
            <w:tcW w:type="dxa" w:w="1440"/>
          </w:tcPr>
          <w:p>
            <w:r>
              <w:rPr>
                <w:rFonts w:ascii="Calibri" w:hAnsi="Calibri"/>
                <w:sz w:val="22"/>
              </w:rPr>
              <w:t>FQ3 2025 (Mar-25)</w:t>
            </w:r>
          </w:p>
        </w:tc>
        <w:tc>
          <w:tcPr>
            <w:tcW w:type="dxa" w:w="1440"/>
          </w:tcPr>
          <w:p>
            <w:r>
              <w:rPr>
                <w:rFonts w:ascii="Calibri" w:hAnsi="Calibri"/>
                <w:sz w:val="22"/>
              </w:rPr>
              <w:t>Revenue</w:t>
            </w:r>
          </w:p>
        </w:tc>
        <w:tc>
          <w:tcPr>
            <w:tcW w:type="dxa" w:w="1440"/>
          </w:tcPr>
          <w:p>
            <w:r>
              <w:rPr>
                <w:rFonts w:ascii="Calibri" w:hAnsi="Calibri"/>
                <w:sz w:val="22"/>
              </w:rPr>
              <w:t>$4.720B</w:t>
            </w:r>
          </w:p>
        </w:tc>
        <w:tc>
          <w:tcPr>
            <w:tcW w:type="dxa" w:w="1440"/>
          </w:tcPr>
          <w:p>
            <w:r>
              <w:rPr>
                <w:rFonts w:ascii="Calibri" w:hAnsi="Calibri"/>
                <w:sz w:val="22"/>
              </w:rPr>
              <w:t>$4.642B</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FQ3 2025 (Mar-25)</w:t>
            </w:r>
          </w:p>
        </w:tc>
        <w:tc>
          <w:tcPr>
            <w:tcW w:type="dxa" w:w="1440"/>
          </w:tcPr>
          <w:p>
            <w:r>
              <w:rPr>
                <w:rFonts w:ascii="Calibri" w:hAnsi="Calibri"/>
                <w:sz w:val="22"/>
              </w:rPr>
              <w:t>Op. EPS</w:t>
            </w:r>
          </w:p>
        </w:tc>
        <w:tc>
          <w:tcPr>
            <w:tcW w:type="dxa" w:w="1440"/>
          </w:tcPr>
          <w:p>
            <w:r>
              <w:rPr>
                <w:rFonts w:ascii="Calibri" w:hAnsi="Calibri"/>
                <w:sz w:val="22"/>
              </w:rPr>
              <w:t>$1.04</w:t>
            </w:r>
          </w:p>
        </w:tc>
        <w:tc>
          <w:tcPr>
            <w:tcW w:type="dxa" w:w="1440"/>
          </w:tcPr>
          <w:p>
            <w:r>
              <w:rPr>
                <w:rFonts w:ascii="Calibri" w:hAnsi="Calibri"/>
                <w:sz w:val="22"/>
              </w:rPr>
              <w:t>$1.003</w:t>
            </w:r>
          </w:p>
        </w:tc>
        <w:tc>
          <w:tcPr>
            <w:tcW w:type="dxa" w:w="1440"/>
          </w:tcPr>
          <w:p>
            <w:r>
              <w:rPr>
                <w:rFonts w:ascii="Calibri" w:hAnsi="Calibri"/>
                <w:b/>
                <w:color w:val="30A46C"/>
                <w:sz w:val="22"/>
              </w:rPr>
              <w:t>+3.7%</w:t>
            </w:r>
          </w:p>
        </w:tc>
        <w:tc>
          <w:tcPr>
            <w:tcW w:type="dxa" w:w="1440"/>
          </w:tcPr>
          <w:p>
            <w:r>
              <w:rPr>
                <w:rFonts w:ascii="Calibri" w:hAnsi="Calibri"/>
                <w:sz w:val="22"/>
              </w:rPr>
              <w:t>Beat</w:t>
            </w:r>
          </w:p>
        </w:tc>
      </w:tr>
      <w:tr>
        <w:tc>
          <w:tcPr>
            <w:tcW w:type="dxa" w:w="1440"/>
          </w:tcPr>
          <w:p>
            <w:r>
              <w:rPr>
                <w:rFonts w:ascii="Calibri" w:hAnsi="Calibri"/>
                <w:sz w:val="22"/>
              </w:rPr>
              <w:t>FQ2 2025 (Dec-24)</w:t>
            </w:r>
          </w:p>
        </w:tc>
        <w:tc>
          <w:tcPr>
            <w:tcW w:type="dxa" w:w="1440"/>
          </w:tcPr>
          <w:p>
            <w:r>
              <w:rPr>
                <w:rFonts w:ascii="Calibri" w:hAnsi="Calibri"/>
                <w:sz w:val="22"/>
              </w:rPr>
              <w:t>Revenue</w:t>
            </w:r>
          </w:p>
        </w:tc>
        <w:tc>
          <w:tcPr>
            <w:tcW w:type="dxa" w:w="1440"/>
          </w:tcPr>
          <w:p>
            <w:r>
              <w:rPr>
                <w:rFonts w:ascii="Calibri" w:hAnsi="Calibri"/>
                <w:sz w:val="22"/>
              </w:rPr>
              <w:t>$4.376B</w:t>
            </w:r>
          </w:p>
        </w:tc>
        <w:tc>
          <w:tcPr>
            <w:tcW w:type="dxa" w:w="1440"/>
          </w:tcPr>
          <w:p>
            <w:r>
              <w:rPr>
                <w:rFonts w:ascii="Calibri" w:hAnsi="Calibri"/>
                <w:sz w:val="22"/>
              </w:rPr>
              <w:t>$4.314B</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FQ2 2025 (Dec-24)</w:t>
            </w:r>
          </w:p>
        </w:tc>
        <w:tc>
          <w:tcPr>
            <w:tcW w:type="dxa" w:w="1440"/>
          </w:tcPr>
          <w:p>
            <w:r>
              <w:rPr>
                <w:rFonts w:ascii="Calibri" w:hAnsi="Calibri"/>
                <w:sz w:val="22"/>
              </w:rPr>
              <w:t>Op. EPS</w:t>
            </w:r>
          </w:p>
        </w:tc>
        <w:tc>
          <w:tcPr>
            <w:tcW w:type="dxa" w:w="1440"/>
          </w:tcPr>
          <w:p>
            <w:r>
              <w:rPr>
                <w:rFonts w:ascii="Calibri" w:hAnsi="Calibri"/>
                <w:sz w:val="22"/>
              </w:rPr>
              <w:t>$0.91</w:t>
            </w:r>
          </w:p>
        </w:tc>
        <w:tc>
          <w:tcPr>
            <w:tcW w:type="dxa" w:w="1440"/>
          </w:tcPr>
          <w:p>
            <w:r>
              <w:rPr>
                <w:rFonts w:ascii="Calibri" w:hAnsi="Calibri"/>
                <w:sz w:val="22"/>
              </w:rPr>
              <w:t>$0.881</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FQ1 2025 (Sep-24)</w:t>
            </w:r>
          </w:p>
        </w:tc>
        <w:tc>
          <w:tcPr>
            <w:tcW w:type="dxa" w:w="1440"/>
          </w:tcPr>
          <w:p>
            <w:r>
              <w:rPr>
                <w:rFonts w:ascii="Calibri" w:hAnsi="Calibri"/>
                <w:sz w:val="22"/>
              </w:rPr>
              <w:t>Revenue</w:t>
            </w:r>
          </w:p>
        </w:tc>
        <w:tc>
          <w:tcPr>
            <w:tcW w:type="dxa" w:w="1440"/>
          </w:tcPr>
          <w:p>
            <w:r>
              <w:rPr>
                <w:rFonts w:ascii="Calibri" w:hAnsi="Calibri"/>
                <w:sz w:val="22"/>
              </w:rPr>
              <w:t>$4.168B</w:t>
            </w:r>
          </w:p>
        </w:tc>
        <w:tc>
          <w:tcPr>
            <w:tcW w:type="dxa" w:w="1440"/>
          </w:tcPr>
          <w:p>
            <w:r>
              <w:rPr>
                <w:rFonts w:ascii="Calibri" w:hAnsi="Calibri"/>
                <w:sz w:val="22"/>
              </w:rPr>
              <w:t>$4.057B</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FQ1 2025 (Sep-24)</w:t>
            </w:r>
          </w:p>
        </w:tc>
        <w:tc>
          <w:tcPr>
            <w:tcW w:type="dxa" w:w="1440"/>
          </w:tcPr>
          <w:p>
            <w:r>
              <w:rPr>
                <w:rFonts w:ascii="Calibri" w:hAnsi="Calibri"/>
                <w:sz w:val="22"/>
              </w:rPr>
              <w:t>Op. EPS</w:t>
            </w:r>
          </w:p>
        </w:tc>
        <w:tc>
          <w:tcPr>
            <w:tcW w:type="dxa" w:w="1440"/>
          </w:tcPr>
          <w:p>
            <w:r>
              <w:rPr>
                <w:rFonts w:ascii="Calibri" w:hAnsi="Calibri"/>
                <w:sz w:val="22"/>
              </w:rPr>
              <w:t>$0.86</w:t>
            </w:r>
          </w:p>
        </w:tc>
        <w:tc>
          <w:tcPr>
            <w:tcW w:type="dxa" w:w="1440"/>
          </w:tcPr>
          <w:p>
            <w:r>
              <w:rPr>
                <w:rFonts w:ascii="Calibri" w:hAnsi="Calibri"/>
                <w:sz w:val="22"/>
              </w:rPr>
              <w:t>$0.811</w:t>
            </w:r>
          </w:p>
        </w:tc>
        <w:tc>
          <w:tcPr>
            <w:tcW w:type="dxa" w:w="1440"/>
          </w:tcPr>
          <w:p>
            <w:r>
              <w:rPr>
                <w:rFonts w:ascii="Calibri" w:hAnsi="Calibri"/>
                <w:b/>
                <w:color w:val="30A46C"/>
                <w:sz w:val="22"/>
              </w:rPr>
              <w:t>+6.0%</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Lam has beaten consensus on both revenue and operating EPS in each of the last 8 consecutive quarters, with EPS beats consistently larger than revenue beats (averaging ~5–8% vs. ~2%). This reflects a pattern of conservative guidance and strong operating leverage.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April 22 earnings call, but management’s tone has been consistently bullish. </w:t>
      </w:r>
      <w:r>
        <w:rPr>
          <w:rFonts w:ascii="Calibri" w:hAnsi="Calibri"/>
          <w:b/>
          <w:color w:val="525866"/>
          <w:sz w:val="22"/>
        </w:rPr>
        <w:t>No post-earnings 8-K or conference update has changed the numbers</w:t>
      </w:r>
      <w:r>
        <w:rPr>
          <w:rFonts w:ascii="Calibri" w:hAnsi="Calibri"/>
          <w:color w:val="525866"/>
          <w:sz w:val="22"/>
        </w:rPr>
        <w:t>; the June-quarter guidance issued on April 22 remains the operative baseline. Peer commentary (ASML, KLAC) since then has reinforced the demand environment.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(April 22,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Revenue (FQ4 2026)</w:t>
            </w:r>
          </w:p>
        </w:tc>
        <w:tc>
          <w:tcPr>
            <w:tcW w:type="dxa" w:w="1728"/>
          </w:tcPr>
          <w:p>
            <w:r>
              <w:rPr>
                <w:rFonts w:ascii="Calibri" w:hAnsi="Calibri"/>
                <w:sz w:val="22"/>
              </w:rPr>
              <w:t>$6.60B ± $400M</w:t>
            </w:r>
          </w:p>
        </w:tc>
        <w:tc>
          <w:tcPr>
            <w:tcW w:type="dxa" w:w="1728"/>
          </w:tcPr>
          <w:p>
            <w:r>
              <w:rPr>
                <w:rFonts w:ascii="Calibri" w:hAnsi="Calibri"/>
                <w:sz w:val="22"/>
              </w:rPr>
              <w:t>—</w:t>
            </w:r>
          </w:p>
        </w:tc>
        <w:tc>
          <w:tcPr>
            <w:tcW w:type="dxa" w:w="1728"/>
          </w:tcPr>
          <w:p>
            <w:r>
              <w:rPr>
                <w:rFonts w:ascii="Calibri" w:hAnsi="Calibri"/>
                <w:sz w:val="22"/>
              </w:rPr>
              <w:t>$6.690B</w:t>
            </w:r>
          </w:p>
        </w:tc>
        <w:tc>
          <w:tcPr>
            <w:tcW w:type="dxa" w:w="1728"/>
          </w:tcPr>
          <w:p>
            <w:r>
              <w:rPr>
                <w:rFonts w:ascii="Calibri" w:hAnsi="Calibri"/>
                <w:sz w:val="22"/>
              </w:rPr>
              <w:t>No post-earnings revision; consensus sits +1.4% above midpoint</w:t>
            </w:r>
          </w:p>
        </w:tc>
      </w:tr>
      <w:tr>
        <w:tc>
          <w:tcPr>
            <w:tcW w:type="dxa" w:w="1728"/>
          </w:tcPr>
          <w:p>
            <w:r>
              <w:rPr>
                <w:rFonts w:ascii="Calibri" w:hAnsi="Calibri"/>
                <w:sz w:val="22"/>
              </w:rPr>
              <w:t>Gross Margin — Operating (FQ4 2026)</w:t>
            </w:r>
          </w:p>
        </w:tc>
        <w:tc>
          <w:tcPr>
            <w:tcW w:type="dxa" w:w="1728"/>
          </w:tcPr>
          <w:p>
            <w:r>
              <w:rPr>
                <w:rFonts w:ascii="Calibri" w:hAnsi="Calibri"/>
                <w:sz w:val="22"/>
              </w:rPr>
              <w:t>50.5% ± 1%</w:t>
            </w:r>
          </w:p>
        </w:tc>
        <w:tc>
          <w:tcPr>
            <w:tcW w:type="dxa" w:w="1728"/>
          </w:tcPr>
          <w:p>
            <w:r>
              <w:rPr>
                <w:rFonts w:ascii="Calibri" w:hAnsi="Calibri"/>
                <w:sz w:val="22"/>
              </w:rPr>
              <w:t>—</w:t>
            </w:r>
          </w:p>
        </w:tc>
        <w:tc>
          <w:tcPr>
            <w:tcW w:type="dxa" w:w="1728"/>
          </w:tcPr>
          <w:p>
            <w:r>
              <w:rPr>
                <w:rFonts w:ascii="Calibri" w:hAnsi="Calibri"/>
                <w:sz w:val="22"/>
              </w:rPr>
              <w:t>~50.7%</w:t>
            </w:r>
          </w:p>
        </w:tc>
        <w:tc>
          <w:tcPr>
            <w:tcW w:type="dxa" w:w="1728"/>
          </w:tcPr>
          <w:p>
            <w:r>
              <w:rPr>
                <w:rFonts w:ascii="Calibri" w:hAnsi="Calibri"/>
                <w:sz w:val="22"/>
              </w:rPr>
              <w:t>No revision; mgmt guided margins to “level out” at ~50.5% for rest of year</w:t>
            </w:r>
          </w:p>
        </w:tc>
      </w:tr>
      <w:tr>
        <w:tc>
          <w:tcPr>
            <w:tcW w:type="dxa" w:w="1728"/>
          </w:tcPr>
          <w:p>
            <w:r>
              <w:rPr>
                <w:rFonts w:ascii="Calibri" w:hAnsi="Calibri"/>
                <w:sz w:val="22"/>
              </w:rPr>
              <w:t>Operating Margin (FQ4 2026)</w:t>
            </w:r>
          </w:p>
        </w:tc>
        <w:tc>
          <w:tcPr>
            <w:tcW w:type="dxa" w:w="1728"/>
          </w:tcPr>
          <w:p>
            <w:r>
              <w:rPr>
                <w:rFonts w:ascii="Calibri" w:hAnsi="Calibri"/>
                <w:sz w:val="22"/>
              </w:rPr>
              <w:t>36.5% ± 1%</w:t>
            </w:r>
          </w:p>
        </w:tc>
        <w:tc>
          <w:tcPr>
            <w:tcW w:type="dxa" w:w="1728"/>
          </w:tcPr>
          <w:p>
            <w:r>
              <w:rPr>
                <w:rFonts w:ascii="Calibri" w:hAnsi="Calibri"/>
                <w:sz w:val="22"/>
              </w:rPr>
              <w:t>—</w:t>
            </w:r>
          </w:p>
        </w:tc>
        <w:tc>
          <w:tcPr>
            <w:tcW w:type="dxa" w:w="1728"/>
          </w:tcPr>
          <w:p>
            <w:r>
              <w:rPr>
                <w:rFonts w:ascii="Calibri" w:hAnsi="Calibri"/>
                <w:sz w:val="22"/>
              </w:rPr>
              <w:t>~36.5%</w:t>
            </w:r>
          </w:p>
        </w:tc>
        <w:tc>
          <w:tcPr>
            <w:tcW w:type="dxa" w:w="1728"/>
          </w:tcPr>
          <w:p>
            <w:r>
              <w:rPr>
                <w:rFonts w:ascii="Calibri" w:hAnsi="Calibri"/>
                <w:sz w:val="22"/>
              </w:rPr>
              <w:t>No revision; consensus in line with midpoint</w:t>
            </w:r>
          </w:p>
        </w:tc>
      </w:tr>
      <w:tr>
        <w:tc>
          <w:tcPr>
            <w:tcW w:type="dxa" w:w="1728"/>
          </w:tcPr>
          <w:p>
            <w:r>
              <w:rPr>
                <w:rFonts w:ascii="Calibri" w:hAnsi="Calibri"/>
                <w:sz w:val="22"/>
              </w:rPr>
              <w:t>Operating EPS (FQ4 2026)</w:t>
            </w:r>
          </w:p>
        </w:tc>
        <w:tc>
          <w:tcPr>
            <w:tcW w:type="dxa" w:w="1728"/>
          </w:tcPr>
          <w:p>
            <w:r>
              <w:rPr>
                <w:rFonts w:ascii="Calibri" w:hAnsi="Calibri"/>
                <w:sz w:val="22"/>
              </w:rPr>
              <w:t>$1.65 ± $0.15</w:t>
            </w:r>
          </w:p>
        </w:tc>
        <w:tc>
          <w:tcPr>
            <w:tcW w:type="dxa" w:w="1728"/>
          </w:tcPr>
          <w:p>
            <w:r>
              <w:rPr>
                <w:rFonts w:ascii="Calibri" w:hAnsi="Calibri"/>
                <w:sz w:val="22"/>
              </w:rPr>
              <w:t>—</w:t>
            </w:r>
          </w:p>
        </w:tc>
        <w:tc>
          <w:tcPr>
            <w:tcW w:type="dxa" w:w="1728"/>
          </w:tcPr>
          <w:p>
            <w:r>
              <w:rPr>
                <w:rFonts w:ascii="Calibri" w:hAnsi="Calibri"/>
                <w:sz w:val="22"/>
              </w:rPr>
              <w:t>$1.697</w:t>
            </w:r>
          </w:p>
        </w:tc>
        <w:tc>
          <w:tcPr>
            <w:tcW w:type="dxa" w:w="1728"/>
          </w:tcPr>
          <w:p>
            <w:r>
              <w:rPr>
                <w:rFonts w:ascii="Calibri" w:hAnsi="Calibri"/>
                <w:sz w:val="22"/>
              </w:rPr>
              <w:t>No revision; consensus +2.8% above midpoint; diluted share count ~1.255B</w:t>
            </w:r>
          </w:p>
        </w:tc>
      </w:tr>
      <w:tr>
        <w:tc>
          <w:tcPr>
            <w:tcW w:type="dxa" w:w="1728"/>
          </w:tcPr>
          <w:p>
            <w:r>
              <w:rPr>
                <w:rFonts w:ascii="Calibri" w:hAnsi="Calibri"/>
                <w:sz w:val="22"/>
              </w:rPr>
              <w:t>2026 WFE Outlook</w:t>
            </w:r>
          </w:p>
        </w:tc>
        <w:tc>
          <w:tcPr>
            <w:tcW w:type="dxa" w:w="1728"/>
          </w:tcPr>
          <w:p>
            <w:r>
              <w:rPr>
                <w:rFonts w:ascii="Calibri" w:hAnsi="Calibri"/>
                <w:sz w:val="22"/>
              </w:rPr>
              <w:t>$140B with upside bias (raised from $135B in January)</w:t>
            </w:r>
          </w:p>
        </w:tc>
        <w:tc>
          <w:tcPr>
            <w:tcW w:type="dxa" w:w="1728"/>
          </w:tcPr>
          <w:p>
            <w:r>
              <w:rPr>
                <w:rFonts w:ascii="Calibri" w:hAnsi="Calibri"/>
                <w:sz w:val="22"/>
              </w:rPr>
              <w:t>—</w:t>
            </w:r>
          </w:p>
        </w:tc>
        <w:tc>
          <w:tcPr>
            <w:tcW w:type="dxa" w:w="1728"/>
          </w:tcPr>
          <w:p>
            <w:r>
              <w:rPr>
                <w:rFonts w:ascii="Calibri" w:hAnsi="Calibri"/>
                <w:sz w:val="22"/>
              </w:rPr>
              <w:t>N/A (industry metric)</w:t>
            </w:r>
          </w:p>
        </w:tc>
        <w:tc>
          <w:tcPr>
            <w:tcW w:type="dxa" w:w="1728"/>
          </w:tcPr>
          <w:p>
            <w:r>
              <w:rPr>
                <w:rFonts w:ascii="Calibri" w:hAnsi="Calibri"/>
                <w:sz w:val="22"/>
              </w:rPr>
              <w:t>KLAC raised its WFE estimate to ~$150B low range on July 28; potential for LRCX to follow suit</w:t>
            </w:r>
          </w:p>
        </w:tc>
      </w:tr>
      <w:tr>
        <w:tc>
          <w:tcPr>
            <w:tcW w:type="dxa" w:w="1728"/>
          </w:tcPr>
          <w:p>
            <w:r>
              <w:rPr>
                <w:rFonts w:ascii="Calibri" w:hAnsi="Calibri"/>
                <w:sz w:val="22"/>
              </w:rPr>
              <w:t>H2 2026 Revenue Trajectory</w:t>
            </w:r>
          </w:p>
        </w:tc>
        <w:tc>
          <w:tcPr>
            <w:tcW w:type="dxa" w:w="1728"/>
          </w:tcPr>
          <w:p>
            <w:r>
              <w:rPr>
                <w:rFonts w:ascii="Calibri" w:hAnsi="Calibri"/>
                <w:sz w:val="22"/>
              </w:rPr>
              <w:t>H2 revenues to exceed H1</w:t>
            </w:r>
          </w:p>
        </w:tc>
        <w:tc>
          <w:tcPr>
            <w:tcW w:type="dxa" w:w="1728"/>
          </w:tcPr>
          <w:p>
            <w:r>
              <w:rPr>
                <w:rFonts w:ascii="Calibri" w:hAnsi="Calibri"/>
                <w:sz w:val="22"/>
              </w:rPr>
              <w:t>—</w:t>
            </w:r>
          </w:p>
        </w:tc>
        <w:tc>
          <w:tcPr>
            <w:tcW w:type="dxa" w:w="1728"/>
          </w:tcPr>
          <w:p>
            <w:r>
              <w:rPr>
                <w:rFonts w:ascii="Calibri" w:hAnsi="Calibri"/>
                <w:sz w:val="22"/>
              </w:rPr>
              <w:t>Consensus FQ4 $6.69B &gt; FQ3 $5.84B ✓</w:t>
            </w:r>
          </w:p>
        </w:tc>
        <w:tc>
          <w:tcPr>
            <w:tcW w:type="dxa" w:w="1728"/>
          </w:tcPr>
          <w:p>
            <w:r>
              <w:rPr>
                <w:rFonts w:ascii="Calibri" w:hAnsi="Calibri"/>
                <w:sz w:val="22"/>
              </w:rPr>
              <w:t>Tracking as guided; sequential growth implied</w:t>
            </w:r>
          </w:p>
        </w:tc>
      </w:tr>
      <w:tr>
        <w:tc>
          <w:tcPr>
            <w:tcW w:type="dxa" w:w="1728"/>
          </w:tcPr>
          <w:p>
            <w:r>
              <w:rPr>
                <w:rFonts w:ascii="Calibri" w:hAnsi="Calibri"/>
                <w:sz w:val="22"/>
              </w:rPr>
              <w:t>Long-Term Financial Model Update</w:t>
            </w:r>
          </w:p>
        </w:tc>
        <w:tc>
          <w:tcPr>
            <w:tcW w:type="dxa" w:w="1728"/>
          </w:tcPr>
          <w:p>
            <w:r>
              <w:rPr>
                <w:rFonts w:ascii="Calibri" w:hAnsi="Calibri"/>
                <w:sz w:val="22"/>
              </w:rPr>
              <w:t>Committed to update later in 2026 (not via Analyst Day)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catalyst watch: any incremental color on timing or targets on July 29 call</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higher since the April 22 print on both the June quarter and FY2027, tracking management’s bullish tone. </w:t>
      </w:r>
      <w:r>
        <w:rPr>
          <w:rFonts w:ascii="Calibri" w:hAnsi="Calibri"/>
          <w:b/>
          <w:color w:val="525866"/>
          <w:sz w:val="22"/>
        </w:rPr>
        <w:t>FY2027 EPS has risen ~3.2% since the post-print baseline</w:t>
      </w:r>
      <w:r>
        <w:rPr>
          <w:rFonts w:ascii="Calibri" w:hAnsi="Calibri"/>
          <w:color w:val="525866"/>
          <w:sz w:val="22"/>
        </w:rPr>
        <w:t>, reflecting growing conviction in the multi-year WFE upcycle. Estimates are tracking with guidance, not diverging — the gap between consensus and guidance midpoints represents cushion, not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Last Earnings (Apr 29, 2026)</w:t>
            </w:r>
          </w:p>
        </w:tc>
        <w:tc>
          <w:tcPr>
            <w:tcW w:type="dxa" w:w="1080"/>
            <w:shd w:val="clear" w:color="auto" w:fill="3B4259"/>
          </w:tcPr>
          <w:p>
            <w:r>
              <w:rPr>
                <w:rFonts w:ascii="Calibri" w:hAnsi="Calibri"/>
                <w:b/>
                <w:color w:val="FFFFFF"/>
                <w:sz w:val="22"/>
              </w:rPr>
              <w:t>Current Estimate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22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FQ4 2026</w:t>
            </w:r>
          </w:p>
        </w:tc>
        <w:tc>
          <w:tcPr>
            <w:tcW w:type="dxa" w:w="1080"/>
          </w:tcPr>
          <w:p>
            <w:r>
              <w:rPr>
                <w:rFonts w:ascii="Calibri" w:hAnsi="Calibri"/>
                <w:sz w:val="22"/>
              </w:rPr>
              <w:t>$6.654B</w:t>
            </w:r>
          </w:p>
        </w:tc>
        <w:tc>
          <w:tcPr>
            <w:tcW w:type="dxa" w:w="1080"/>
          </w:tcPr>
          <w:p>
            <w:r>
              <w:rPr>
                <w:rFonts w:ascii="Calibri" w:hAnsi="Calibri"/>
                <w:sz w:val="22"/>
              </w:rPr>
              <w:t>$6.690B</w:t>
            </w:r>
          </w:p>
        </w:tc>
        <w:tc>
          <w:tcPr>
            <w:tcW w:type="dxa" w:w="1080"/>
          </w:tcPr>
          <w:p>
            <w:r>
              <w:rPr>
                <w:rFonts w:ascii="Calibri" w:hAnsi="Calibri"/>
                <w:b/>
                <w:color w:val="30A46C"/>
                <w:sz w:val="22"/>
              </w:rPr>
              <w:t>+0.5%</w:t>
            </w:r>
          </w:p>
        </w:tc>
        <w:tc>
          <w:tcPr>
            <w:tcW w:type="dxa" w:w="1080"/>
          </w:tcPr>
          <w:p>
            <w:r>
              <w:rPr>
                <w:rFonts w:ascii="Calibri" w:hAnsi="Calibri"/>
                <w:sz w:val="22"/>
              </w:rPr>
              <w:t>$6.60B ± $400M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 vs. midpoint</w:t>
            </w:r>
          </w:p>
        </w:tc>
      </w:tr>
      <w:tr>
        <w:tc>
          <w:tcPr>
            <w:tcW w:type="dxa" w:w="1080"/>
          </w:tcPr>
          <w:p>
            <w:r>
              <w:rPr>
                <w:rFonts w:ascii="Calibri" w:hAnsi="Calibri"/>
                <w:sz w:val="22"/>
              </w:rPr>
              <w:t>Revenue — FY2027</w:t>
            </w:r>
          </w:p>
        </w:tc>
        <w:tc>
          <w:tcPr>
            <w:tcW w:type="dxa" w:w="1080"/>
          </w:tcPr>
          <w:p>
            <w:r>
              <w:rPr>
                <w:rFonts w:ascii="Calibri" w:hAnsi="Calibri"/>
                <w:sz w:val="22"/>
              </w:rPr>
              <w:t>$30.279B</w:t>
            </w:r>
          </w:p>
        </w:tc>
        <w:tc>
          <w:tcPr>
            <w:tcW w:type="dxa" w:w="1080"/>
          </w:tcPr>
          <w:p>
            <w:r>
              <w:rPr>
                <w:rFonts w:ascii="Calibri" w:hAnsi="Calibri"/>
                <w:sz w:val="22"/>
              </w:rPr>
              <w:t>$31.084B</w:t>
            </w:r>
          </w:p>
        </w:tc>
        <w:tc>
          <w:tcPr>
            <w:tcW w:type="dxa" w:w="1080"/>
          </w:tcPr>
          <w:p>
            <w:r>
              <w:rPr>
                <w:rFonts w:ascii="Calibri" w:hAnsi="Calibri"/>
                <w:b/>
                <w:color w:val="30A46C"/>
                <w:sz w:val="22"/>
              </w:rPr>
              <w:t>+2.7%</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 EPS — FQ4 2026</w:t>
            </w:r>
          </w:p>
        </w:tc>
        <w:tc>
          <w:tcPr>
            <w:tcW w:type="dxa" w:w="1080"/>
          </w:tcPr>
          <w:p>
            <w:r>
              <w:rPr>
                <w:rFonts w:ascii="Calibri" w:hAnsi="Calibri"/>
                <w:sz w:val="22"/>
              </w:rPr>
              <w:t>$1.684</w:t>
            </w:r>
          </w:p>
        </w:tc>
        <w:tc>
          <w:tcPr>
            <w:tcW w:type="dxa" w:w="1080"/>
          </w:tcPr>
          <w:p>
            <w:r>
              <w:rPr>
                <w:rFonts w:ascii="Calibri" w:hAnsi="Calibri"/>
                <w:sz w:val="22"/>
              </w:rPr>
              <w:t>$1.697</w:t>
            </w:r>
          </w:p>
        </w:tc>
        <w:tc>
          <w:tcPr>
            <w:tcW w:type="dxa" w:w="1080"/>
          </w:tcPr>
          <w:p>
            <w:r>
              <w:rPr>
                <w:rFonts w:ascii="Calibri" w:hAnsi="Calibri"/>
                <w:b/>
                <w:color w:val="30A46C"/>
                <w:sz w:val="22"/>
              </w:rPr>
              <w:t>+0.8%</w:t>
            </w:r>
          </w:p>
        </w:tc>
        <w:tc>
          <w:tcPr>
            <w:tcW w:type="dxa" w:w="1080"/>
          </w:tcPr>
          <w:p>
            <w:r>
              <w:rPr>
                <w:rFonts w:ascii="Calibri" w:hAnsi="Calibri"/>
                <w:sz w:val="22"/>
              </w:rPr>
              <w:t>$1.65 ± $0.15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+2.8% vs. midpoint</w:t>
            </w:r>
          </w:p>
        </w:tc>
      </w:tr>
      <w:tr>
        <w:tc>
          <w:tcPr>
            <w:tcW w:type="dxa" w:w="1080"/>
          </w:tcPr>
          <w:p>
            <w:r>
              <w:rPr>
                <w:rFonts w:ascii="Calibri" w:hAnsi="Calibri"/>
                <w:sz w:val="22"/>
              </w:rPr>
              <w:t>Op. EPS — FY2027</w:t>
            </w:r>
          </w:p>
        </w:tc>
        <w:tc>
          <w:tcPr>
            <w:tcW w:type="dxa" w:w="1080"/>
          </w:tcPr>
          <w:p>
            <w:r>
              <w:rPr>
                <w:rFonts w:ascii="Calibri" w:hAnsi="Calibri"/>
                <w:sz w:val="22"/>
              </w:rPr>
              <w:t>$7.879</w:t>
            </w:r>
          </w:p>
        </w:tc>
        <w:tc>
          <w:tcPr>
            <w:tcW w:type="dxa" w:w="1080"/>
          </w:tcPr>
          <w:p>
            <w:r>
              <w:rPr>
                <w:rFonts w:ascii="Calibri" w:hAnsi="Calibri"/>
                <w:sz w:val="22"/>
              </w:rPr>
              <w:t>$8.165</w:t>
            </w:r>
          </w:p>
        </w:tc>
        <w:tc>
          <w:tcPr>
            <w:tcW w:type="dxa" w:w="1080"/>
          </w:tcPr>
          <w:p>
            <w:r>
              <w:rPr>
                <w:rFonts w:ascii="Calibri" w:hAnsi="Calibri"/>
                <w:b/>
                <w:color w:val="30A46C"/>
                <w:sz w:val="22"/>
              </w:rPr>
              <w:t>+3.6%</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Post-earnings baseline uses consensus as of April 29, 2026 (approximately 5 trading days after the April 22 print). FY2027 corresponds to Lam’s fiscal year ending June 2027 (VA label FY2027).</w:t>
      </w:r>
    </w:p>
    <w:p>
      <w:r>
        <w:rPr>
          <w:rFonts w:ascii="Calibri" w:hAnsi="Calibri"/>
          <w:b/>
          <w:color w:val="525866"/>
          <w:sz w:val="22"/>
        </w:rPr>
        <w:t xml:space="preserve">Commentary: </w:t>
      </w:r>
      <w:r>
        <w:rPr>
          <w:rFonts w:ascii="Calibri" w:hAnsi="Calibri"/>
          <w:color w:val="525866"/>
          <w:sz w:val="22"/>
        </w:rPr>
        <w:t>The steady upward drift in FY2027 estimates (+3.6% on EPS since the post-print baseline) reflects growing sell-side conviction in the multi-year WFE upcycle, consistent with KLAC’s July 28 commentary pointing to a consensus 2027 WFE view of ~$190B. Near-term (FQ4) estimates have been more stable, moving only +0.5–0.8% — appropriate given the explicit guidance range provided by management.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LRCX surged ~63% from the April 22 earnings date to its June 30 peak (~$433), dramatically outperforming SOXX (+48%) and SPY (+5%) — driven almost entirely by </w:t>
      </w:r>
      <w:r>
        <w:rPr>
          <w:rFonts w:ascii="Calibri" w:hAnsi="Calibri"/>
          <w:b/>
          <w:color w:val="525866"/>
          <w:sz w:val="22"/>
        </w:rPr>
        <w:t>multiple expansion on WFE upgrade enthusiasm</w:t>
      </w:r>
      <w:r>
        <w:rPr>
          <w:rFonts w:ascii="Calibri" w:hAnsi="Calibri"/>
          <w:color w:val="525866"/>
          <w:sz w:val="22"/>
        </w:rPr>
        <w:t>. Since June 30, the stock has reversed sharply (-38% to ~$270 as of July 29), with the selloff driven by multiple compression (NTM P/E from ~50x to ~35x) rather than estimate cuts, creating a potentially attractive entry point ahead of the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LRCX vs. SOXX vs. S&amp;P 500 — Indexed to 100 at April 22, 2026 (Last Earnings Date). Sector ETF: iShares Semiconductor ETF (SOXX). Source: Yahoo Finance / Stock Price Data.</w:t>
      </w:r>
    </w:p>
    <w:p>
      <w:r>
        <w:rPr>
          <w:rFonts w:ascii="Calibri" w:hAnsi="Calibri"/>
          <w:b/>
          <w:color w:val="525866"/>
          <w:sz w:val="22"/>
        </w:rPr>
        <w:t xml:space="preserve">Performance Summary (April 22 – July 29, 2026): </w:t>
      </w:r>
      <w:r>
        <w:rPr>
          <w:rFonts w:ascii="Calibri" w:hAnsi="Calibri"/>
          <w:color w:val="525866"/>
          <w:sz w:val="22"/>
        </w:rPr>
        <w:t>LRCX +1.5% (indexed: 101.5) vs. SOXX +13.8% (indexed: 113.8) vs. SPY +4.2% (indexed: 104.2). LRCX dramatically outperformed through June 30 (indexed ~163 vs. SOXX ~148 vs. SPY ~105), then reversed sharply in July as the stock gave back its premium. The 12-month performance decomposition shows that the trailing 12-month gain of +178% was driven by ~51% multiple expansion and ~127% earnings growth — but the 1-month reversal of -29% was driven almost entirely by multiple compression (-31%), with estimates essentially unchanged. This suggests the selloff is sentiment/valuation-driven rather than fundamental, and a strong print could catalyze a re-rating.</w:t>
      </w:r>
    </w:p>
    <w:p>
      <w:r>
        <w:rPr>
          <w:rFonts w:ascii="Calibri" w:hAnsi="Calibri"/>
          <w:b/>
          <w:color w:val="525866"/>
          <w:sz w:val="22"/>
        </w:rPr>
        <w:t>Key Events Since April 22, 2026:</w:t>
      </w:r>
    </w:p>
    <w:p>
      <w:pPr>
        <w:pStyle w:val="ListBullet"/>
        <w:ind w:left="360" w:hanging="360"/>
      </w:pPr>
      <w:r>
        <w:rPr>
          <w:rFonts w:ascii="Calibri" w:hAnsi="Calibri"/>
          <w:b/>
          <w:color w:val="525866"/>
          <w:sz w:val="22"/>
        </w:rPr>
        <w:t xml:space="preserve">April 22: </w:t>
      </w:r>
      <w:r>
        <w:rPr>
          <w:rFonts w:ascii="Calibri" w:hAnsi="Calibri"/>
          <w:color w:val="525866"/>
          <w:sz w:val="22"/>
        </w:rPr>
        <w:t>LRCX reports FQ3 2026 — record revenue, EPS above top of guidance range, June-quarter guidance well above Street; stock +~4% after-hours.</w:t>
      </w:r>
    </w:p>
    <w:p>
      <w:pPr>
        <w:pStyle w:val="ListBullet"/>
        <w:ind w:left="360" w:hanging="360"/>
      </w:pPr>
      <w:r>
        <w:rPr>
          <w:rFonts w:ascii="Calibri" w:hAnsi="Calibri"/>
          <w:b/>
          <w:color w:val="525866"/>
          <w:sz w:val="22"/>
        </w:rPr>
        <w:t xml:space="preserve">May 14: </w:t>
      </w:r>
      <w:r>
        <w:rPr>
          <w:rFonts w:ascii="Calibri" w:hAnsi="Calibri"/>
          <w:color w:val="525866"/>
          <w:sz w:val="22"/>
        </w:rPr>
        <w:t>AMAT reports FQ2 2026 — raises semi equipment growth outlook to &gt;30% for calendar 2026; positive read-through for LRCX.</w:t>
      </w:r>
    </w:p>
    <w:p>
      <w:pPr>
        <w:pStyle w:val="ListBullet"/>
        <w:ind w:left="360" w:hanging="360"/>
      </w:pPr>
      <w:r>
        <w:rPr>
          <w:rFonts w:ascii="Calibri" w:hAnsi="Calibri"/>
          <w:b/>
          <w:color w:val="525866"/>
          <w:sz w:val="22"/>
        </w:rPr>
        <w:t xml:space="preserve">June 25: </w:t>
      </w:r>
      <w:r>
        <w:rPr>
          <w:rFonts w:ascii="Calibri" w:hAnsi="Calibri"/>
          <w:color w:val="525866"/>
          <w:sz w:val="22"/>
        </w:rPr>
        <w:t>AMAT DRAM &amp; Advanced Packaging Master Class — bullish multi-year WFE commentary; DRAM WFE expected to be &gt;2x NAND; advanced packaging growing &gt;50%.</w:t>
      </w:r>
    </w:p>
    <w:p>
      <w:pPr>
        <w:pStyle w:val="ListBullet"/>
        <w:ind w:left="360" w:hanging="360"/>
      </w:pPr>
      <w:r>
        <w:rPr>
          <w:rFonts w:ascii="Calibri" w:hAnsi="Calibri"/>
          <w:b/>
          <w:color w:val="525866"/>
          <w:sz w:val="22"/>
        </w:rPr>
        <w:t xml:space="preserve">June 30: </w:t>
      </w:r>
      <w:r>
        <w:rPr>
          <w:rFonts w:ascii="Calibri" w:hAnsi="Calibri"/>
          <w:color w:val="525866"/>
          <w:sz w:val="22"/>
        </w:rPr>
        <w:t>LRCX closes at ~$433 — all-time high; stock up ~63% from April 22 earnings date.</w:t>
      </w:r>
    </w:p>
    <w:p>
      <w:pPr>
        <w:pStyle w:val="ListBullet"/>
        <w:ind w:left="360" w:hanging="360"/>
      </w:pPr>
      <w:r>
        <w:rPr>
          <w:rFonts w:ascii="Calibri" w:hAnsi="Calibri"/>
          <w:b/>
          <w:color w:val="525866"/>
          <w:sz w:val="22"/>
        </w:rPr>
        <w:t xml:space="preserve">July 8: </w:t>
      </w:r>
      <w:r>
        <w:rPr>
          <w:rFonts w:ascii="Calibri" w:hAnsi="Calibri"/>
          <w:color w:val="525866"/>
          <w:sz w:val="22"/>
        </w:rPr>
        <w:t>LRCX announces June-quarter financial conference call for July 29, 2026.</w:t>
      </w:r>
    </w:p>
    <w:p>
      <w:pPr>
        <w:pStyle w:val="ListBullet"/>
        <w:ind w:left="360" w:hanging="360"/>
      </w:pPr>
      <w:r>
        <w:rPr>
          <w:rFonts w:ascii="Calibri" w:hAnsi="Calibri"/>
          <w:b/>
          <w:color w:val="525866"/>
          <w:sz w:val="22"/>
        </w:rPr>
        <w:t xml:space="preserve">July 15: </w:t>
      </w:r>
      <w:r>
        <w:rPr>
          <w:rFonts w:ascii="Calibri" w:hAnsi="Calibri"/>
          <w:color w:val="525866"/>
          <w:sz w:val="22"/>
        </w:rPr>
        <w:t>ASML reports Q2 2026 — beats on revenue and gross margin, raises full-year guidance to €43–45B (from €36–40B); plans 30% EUV capacity increase for 2027; positive read-through for WFE demand.</w:t>
      </w:r>
    </w:p>
    <w:p>
      <w:pPr>
        <w:pStyle w:val="ListBullet"/>
        <w:ind w:left="360" w:hanging="360"/>
      </w:pPr>
      <w:r>
        <w:rPr>
          <w:rFonts w:ascii="Calibri" w:hAnsi="Calibri"/>
          <w:b/>
          <w:color w:val="525866"/>
          <w:sz w:val="22"/>
        </w:rPr>
        <w:t xml:space="preserve">July 27–28: </w:t>
      </w:r>
      <w:r>
        <w:rPr>
          <w:rFonts w:ascii="Calibri" w:hAnsi="Calibri"/>
          <w:color w:val="525866"/>
          <w:sz w:val="22"/>
        </w:rPr>
        <w:t>ASML shares fall sharply on reports of Chinese DUV lithography competition; semiconductor sector broadly sells off; LRCX falls to ~$270.</w:t>
      </w:r>
    </w:p>
    <w:p>
      <w:pPr>
        <w:pStyle w:val="ListBullet"/>
        <w:ind w:left="360" w:hanging="360"/>
      </w:pPr>
      <w:r>
        <w:rPr>
          <w:rFonts w:ascii="Calibri" w:hAnsi="Calibri"/>
          <w:b/>
          <w:color w:val="525866"/>
          <w:sz w:val="22"/>
        </w:rPr>
        <w:t xml:space="preserve">July 28: </w:t>
      </w:r>
      <w:r>
        <w:rPr>
          <w:rFonts w:ascii="Calibri" w:hAnsi="Calibri"/>
          <w:color w:val="525866"/>
          <w:sz w:val="22"/>
        </w:rPr>
        <w:t>KLAC reports FQ4 2026 — raises WFE estimate to ~$150B low range for 2026 (from $140B+); cites 2027 WFE consensus of ~$190B; strong positive read-through for LRCX.</w:t>
      </w:r>
    </w:p>
    <w:p>
      <w:r>
        <w:br w:type="page"/>
      </w:r>
    </w:p>
    <w:p>
      <w:pPr>
        <w:pStyle w:val="Heading2"/>
      </w:pPr>
      <w:r>
        <w:rPr>
          <w:rFonts w:ascii="Calibri" w:hAnsi="Calibri"/>
          <w:b/>
          <w:color w:val="3B4259"/>
          <w:sz w:val="28"/>
        </w:rPr>
        <w:t>6. Peer Commentary &amp; Read-Throughs (Last 60 Days)</w:t>
      </w:r>
    </w:p>
    <w:p>
      <w:r>
        <w:rPr>
          <w:rFonts w:ascii="Calibri" w:hAnsi="Calibri"/>
          <w:b/>
          <w:color w:val="525866"/>
          <w:sz w:val="22"/>
        </w:rPr>
        <w:t xml:space="preserve">Key Takeaway: </w:t>
      </w:r>
      <w:r>
        <w:rPr>
          <w:rFonts w:ascii="Calibri" w:hAnsi="Calibri"/>
          <w:color w:val="525866"/>
          <w:sz w:val="22"/>
        </w:rPr>
        <w:t xml:space="preserve">Peer commentary from AMAT, ASML, and KLAC over the past 60 days is uniformly bullish on the WFE demand environment, with all three companies raising outlooks and citing accelerating AI-driven investment in leading-edge logic, DRAM, and advanced packaging — all core Lam markets. </w:t>
      </w:r>
      <w:r>
        <w:rPr>
          <w:rFonts w:ascii="Calibri" w:hAnsi="Calibri"/>
          <w:b/>
          <w:color w:val="525866"/>
          <w:sz w:val="22"/>
        </w:rPr>
        <w:t>KLAC’s July 28 WFE upgrade to ~$150B (from $140B+) is the most directly actionable read-through</w:t>
      </w:r>
      <w:r>
        <w:rPr>
          <w:rFonts w:ascii="Calibri" w:hAnsi="Calibri"/>
          <w:color w:val="525866"/>
          <w:sz w:val="22"/>
        </w:rPr>
        <w:t>, as it was issued the day before LRCX’s print and implies Lam may similarly raise its WFE outlook. Note: KLAC’s July 28 commentary was issued the same day as this preview; it addresses KLAC’s forward outlook and 2027 expectations, making it a valid forward-looking read-through.</w:t>
      </w:r>
    </w:p>
    <w:p>
      <w:r>
        <w:rPr>
          <w:rFonts w:ascii="Calibri" w:hAnsi="Calibri"/>
          <w:b/>
          <w:color w:val="525866"/>
          <w:sz w:val="22"/>
        </w:rPr>
        <w:t xml:space="preserve">Methodology Note: </w:t>
      </w:r>
      <w:r>
        <w:rPr>
          <w:rFonts w:ascii="Calibri" w:hAnsi="Calibri"/>
          <w:color w:val="525866"/>
          <w:sz w:val="22"/>
        </w:rPr>
        <w:t>Only commentary issued May 29 – July 28, 2026 that addresses the peer’s then-current or future reporting period, or longer-term outlook, is included below. Backward-looking commentary limited to a completed quarter’s results is excluded.</w:t>
      </w:r>
    </w:p>
    <w:p>
      <w:pPr>
        <w:pStyle w:val="Heading3"/>
      </w:pPr>
      <w:r>
        <w:rPr>
          <w:rFonts w:ascii="Calibri" w:hAnsi="Calibri"/>
          <w:b/>
          <w:color w:val="3B4259"/>
          <w:sz w:val="24"/>
        </w:rPr>
        <w:t>KLA Corporation (KLAC) — FQ4 2026 Earnings Call, July 28, 2026</w:t>
      </w:r>
    </w:p>
    <w:p>
      <w:r>
        <w:rPr>
          <w:rFonts w:ascii="Calibri" w:hAnsi="Calibri"/>
          <w:b/>
          <w:color w:val="525866"/>
          <w:sz w:val="22"/>
        </w:rPr>
        <w:t xml:space="preserve">Timing Note: </w:t>
      </w:r>
      <w:r>
        <w:rPr>
          <w:rFonts w:ascii="Calibri" w:hAnsi="Calibri"/>
          <w:color w:val="525866"/>
          <w:sz w:val="22"/>
        </w:rPr>
        <w:t>KLAC reported after market close on July 28, 2026 — the day before LRCX’s print. All commentary below is forward-looking (addressing KLAC’s September 2026 quarter and 2027 outlook) and constitutes a valid same-day read-through.</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KLAC Commentary (July 28, 2026)</w:t>
            </w:r>
          </w:p>
        </w:tc>
        <w:tc>
          <w:tcPr>
            <w:tcW w:type="dxa" w:w="2880"/>
            <w:shd w:val="clear" w:color="auto" w:fill="3B4259"/>
          </w:tcPr>
          <w:p>
            <w:r>
              <w:rPr>
                <w:rFonts w:ascii="Calibri" w:hAnsi="Calibri"/>
                <w:b/>
                <w:color w:val="FFFFFF"/>
                <w:sz w:val="22"/>
              </w:rPr>
              <w:t>LRCX Read-Through</w:t>
            </w:r>
          </w:p>
        </w:tc>
      </w:tr>
      <w:tr>
        <w:tc>
          <w:tcPr>
            <w:tcW w:type="dxa" w:w="2880"/>
          </w:tcPr>
          <w:p>
            <w:r>
              <w:rPr>
                <w:rFonts w:ascii="Calibri" w:hAnsi="Calibri"/>
                <w:sz w:val="22"/>
              </w:rPr>
              <w:t>WFE Outlook</w:t>
            </w:r>
          </w:p>
        </w:tc>
        <w:tc>
          <w:tcPr>
            <w:tcW w:type="dxa" w:w="2880"/>
          </w:tcPr>
          <w:p>
            <w:r>
              <w:rPr>
                <w:rFonts w:ascii="Calibri" w:hAnsi="Calibri"/>
                <w:sz w:val="22"/>
              </w:rPr>
              <w:t>Raised 2026 WFE estimate (incl. advanced packaging) to “low $150B range” from prior $140B+. Cited 2027 WFE consensus of ~$190B (“mid-20s% growth rate, similar to 2026”). “Demand signals across AI infrastructure have strengthened materially.”</w:t>
            </w:r>
          </w:p>
        </w:tc>
        <w:tc>
          <w:tcPr>
            <w:tcW w:type="dxa" w:w="2880"/>
          </w:tcPr>
          <w:p>
            <w:r>
              <w:rPr>
                <w:rFonts w:ascii="Calibri" w:hAnsi="Calibri"/>
                <w:b/>
                <w:color w:val="30A46C"/>
                <w:sz w:val="22"/>
              </w:rPr>
              <w:t>Strongly positive. LRCX guided $140B WFE with upside bias in April; KLAC’s upgrade implies LRCX may raise to $145–150B+ on July 29. 2027 WFE of ~$190B would be a major catalyst for LRCX’s multi-year growth narrative.</w:t>
            </w:r>
          </w:p>
        </w:tc>
      </w:tr>
      <w:tr>
        <w:tc>
          <w:tcPr>
            <w:tcW w:type="dxa" w:w="2880"/>
          </w:tcPr>
          <w:p>
            <w:r>
              <w:rPr>
                <w:rFonts w:ascii="Calibri" w:hAnsi="Calibri"/>
                <w:sz w:val="22"/>
              </w:rPr>
              <w:t>H2 2026 Acceleration</w:t>
            </w:r>
          </w:p>
        </w:tc>
        <w:tc>
          <w:tcPr>
            <w:tcW w:type="dxa" w:w="2880"/>
          </w:tcPr>
          <w:p>
            <w:r>
              <w:rPr>
                <w:rFonts w:ascii="Calibri" w:hAnsi="Calibri"/>
                <w:sz w:val="22"/>
              </w:rPr>
              <w:t>“We anticipate second half of calendar 2026 growth for KLA over the first half to be approximately 20%.” “Momentum across our business accelerating in the second half of calendar 2026 and continuing through 2027.”</w:t>
            </w:r>
          </w:p>
        </w:tc>
        <w:tc>
          <w:tcPr>
            <w:tcW w:type="dxa" w:w="2880"/>
          </w:tcPr>
          <w:p>
            <w:r>
              <w:rPr>
                <w:rFonts w:ascii="Calibri" w:hAnsi="Calibri"/>
                <w:b/>
                <w:color w:val="30A46C"/>
                <w:sz w:val="22"/>
              </w:rPr>
              <w:t>Positive. Consistent with LRCX’s own guidance that H2 revenues will exceed H1. Validates the sequential growth trajectory embedded in consensus.</w:t>
            </w:r>
          </w:p>
        </w:tc>
      </w:tr>
      <w:tr>
        <w:tc>
          <w:tcPr>
            <w:tcW w:type="dxa" w:w="2880"/>
          </w:tcPr>
          <w:p>
            <w:r>
              <w:rPr>
                <w:rFonts w:ascii="Calibri" w:hAnsi="Calibri"/>
                <w:sz w:val="22"/>
              </w:rPr>
              <w:t>AI Logic / Foundry</w:t>
            </w:r>
          </w:p>
        </w:tc>
        <w:tc>
          <w:tcPr>
            <w:tcW w:type="dxa" w:w="2880"/>
          </w:tcPr>
          <w:p>
            <w:r>
              <w:rPr>
                <w:rFonts w:ascii="Calibri" w:hAnsi="Calibri"/>
                <w:sz w:val="22"/>
              </w:rPr>
              <w:t>“Continued strength in leading edge foundry logic.” “Broadening of investment that’s happening at the leading edge in logic” with multiple players beyond the leader. “Numerous new fab projects and greenfield facilities actively underway.”</w:t>
            </w:r>
          </w:p>
        </w:tc>
        <w:tc>
          <w:tcPr>
            <w:tcW w:type="dxa" w:w="2880"/>
          </w:tcPr>
          <w:p>
            <w:r>
              <w:rPr>
                <w:rFonts w:ascii="Calibri" w:hAnsi="Calibri"/>
                <w:b/>
                <w:color w:val="30A46C"/>
                <w:sz w:val="22"/>
              </w:rPr>
              <w:t>Positive. LRCX achieved its first dielectric etch wins at a key foundry/logic customer in FQ3 2026; broadening investment supports further share gains.</w:t>
            </w:r>
          </w:p>
        </w:tc>
      </w:tr>
      <w:tr>
        <w:tc>
          <w:tcPr>
            <w:tcW w:type="dxa" w:w="2880"/>
          </w:tcPr>
          <w:p>
            <w:r>
              <w:rPr>
                <w:rFonts w:ascii="Calibri" w:hAnsi="Calibri"/>
                <w:sz w:val="22"/>
              </w:rPr>
              <w:t>DRAM / HBM</w:t>
            </w:r>
          </w:p>
        </w:tc>
        <w:tc>
          <w:tcPr>
            <w:tcW w:type="dxa" w:w="2880"/>
          </w:tcPr>
          <w:p>
            <w:r>
              <w:rPr>
                <w:rFonts w:ascii="Calibri" w:hAnsi="Calibri"/>
                <w:sz w:val="22"/>
              </w:rPr>
              <w:t>DRAM expected to be ~90% of memory mix in September quarter. HBM described as “a unique animal” with process control intensity rivaling advanced logic. “Greenfield fabs in DRAM expected to contribute to growth in 2027.”</w:t>
            </w:r>
          </w:p>
        </w:tc>
        <w:tc>
          <w:tcPr>
            <w:tcW w:type="dxa" w:w="2880"/>
          </w:tcPr>
          <w:p>
            <w:r>
              <w:rPr>
                <w:rFonts w:ascii="Calibri" w:hAnsi="Calibri"/>
                <w:b/>
                <w:color w:val="30A46C"/>
                <w:sz w:val="22"/>
              </w:rPr>
              <w:t>Positive. LRCX’s DRAM revenue was a record 27% of systems revenue in FQ3 2026; HBM intensity and greenfield DRAM investment are tailwinds for Lam’s etch/deposition tools.</w:t>
            </w:r>
          </w:p>
        </w:tc>
      </w:tr>
      <w:tr>
        <w:tc>
          <w:tcPr>
            <w:tcW w:type="dxa" w:w="2880"/>
          </w:tcPr>
          <w:p>
            <w:r>
              <w:rPr>
                <w:rFonts w:ascii="Calibri" w:hAnsi="Calibri"/>
                <w:sz w:val="22"/>
              </w:rPr>
              <w:t>NAND</w:t>
            </w:r>
          </w:p>
        </w:tc>
        <w:tc>
          <w:tcPr>
            <w:tcW w:type="dxa" w:w="2880"/>
          </w:tcPr>
          <w:p>
            <w:r>
              <w:rPr>
                <w:rFonts w:ascii="Calibri" w:hAnsi="Calibri"/>
                <w:sz w:val="22"/>
              </w:rPr>
              <w:t>“Some greenfield investment in flash” expected to create opportunities in 2027. NAND ~10% of memory mix in September quarter.</w:t>
            </w:r>
          </w:p>
        </w:tc>
        <w:tc>
          <w:tcPr>
            <w:tcW w:type="dxa" w:w="2880"/>
          </w:tcPr>
          <w:p>
            <w:r>
              <w:rPr>
                <w:rFonts w:ascii="Calibri" w:hAnsi="Calibri"/>
                <w:b/>
                <w:color w:val="30A46C"/>
                <w:sz w:val="22"/>
              </w:rPr>
              <w:t>Modestly positive. LRCX has significant NAND exposure; greenfield NAND investment in 2027 is incremental upside to the upgrade cycle narrative.</w:t>
            </w:r>
          </w:p>
        </w:tc>
      </w:tr>
      <w:tr>
        <w:tc>
          <w:tcPr>
            <w:tcW w:type="dxa" w:w="2880"/>
          </w:tcPr>
          <w:p>
            <w:r>
              <w:rPr>
                <w:rFonts w:ascii="Calibri" w:hAnsi="Calibri"/>
                <w:sz w:val="22"/>
              </w:rPr>
              <w:t>Advanced Packaging</w:t>
            </w:r>
          </w:p>
        </w:tc>
        <w:tc>
          <w:tcPr>
            <w:tcW w:type="dxa" w:w="2880"/>
          </w:tcPr>
          <w:p>
            <w:r>
              <w:rPr>
                <w:rFonts w:ascii="Calibri" w:hAnsi="Calibri"/>
                <w:sz w:val="22"/>
              </w:rPr>
              <w:t>Advanced packaging process control revenue expected to grow to ~$1.1B in calendar 2026, “up more than 70% year over year.” Market growing at “mid to high 30s%” (vs. ~20% at start of year).</w:t>
            </w:r>
          </w:p>
        </w:tc>
        <w:tc>
          <w:tcPr>
            <w:tcW w:type="dxa" w:w="2880"/>
          </w:tcPr>
          <w:p>
            <w:r>
              <w:rPr>
                <w:rFonts w:ascii="Calibri" w:hAnsi="Calibri"/>
                <w:b/>
                <w:color w:val="30A46C"/>
                <w:sz w:val="22"/>
              </w:rPr>
              <w:t>Positive. LRCX guided advanced packaging revenue growth &gt;50% in calendar 2026; KLAC’s market growth upgrade validates the demand environment.</w:t>
            </w:r>
          </w:p>
        </w:tc>
      </w:tr>
      <w:tr>
        <w:tc>
          <w:tcPr>
            <w:tcW w:type="dxa" w:w="2880"/>
          </w:tcPr>
          <w:p>
            <w:r>
              <w:rPr>
                <w:rFonts w:ascii="Calibri" w:hAnsi="Calibri"/>
                <w:sz w:val="22"/>
              </w:rPr>
              <w:t>Demand Visibility</w:t>
            </w:r>
          </w:p>
        </w:tc>
        <w:tc>
          <w:tcPr>
            <w:tcW w:type="dxa" w:w="2880"/>
          </w:tcPr>
          <w:p>
            <w:r>
              <w:rPr>
                <w:rFonts w:ascii="Calibri" w:hAnsi="Calibri"/>
                <w:sz w:val="22"/>
              </w:rPr>
              <w:t>“Unprecedented visibility from customers.” Backlog (RPO) expected at ~$12.5B, “continue to grow.” Lead times ~12 months, up to 18–24 months on certain products.</w:t>
            </w:r>
          </w:p>
        </w:tc>
        <w:tc>
          <w:tcPr>
            <w:tcW w:type="dxa" w:w="2880"/>
          </w:tcPr>
          <w:p>
            <w:r>
              <w:rPr>
                <w:rFonts w:ascii="Calibri" w:hAnsi="Calibri"/>
                <w:b/>
                <w:color w:val="30A46C"/>
                <w:sz w:val="22"/>
              </w:rPr>
              <w:t>Positive. LRCX management cited “better visibility into the following year than I can ever remember” in April; KLAC’s commentary reinforces this industry-wide dynamic.</w:t>
            </w:r>
          </w:p>
        </w:tc>
      </w:tr>
      <w:tr>
        <w:tc>
          <w:tcPr>
            <w:tcW w:type="dxa" w:w="2880"/>
          </w:tcPr>
          <w:p>
            <w:r>
              <w:rPr>
                <w:rFonts w:ascii="Calibri" w:hAnsi="Calibri"/>
                <w:sz w:val="22"/>
              </w:rPr>
              <w:t>Gross Margin</w:t>
            </w:r>
          </w:p>
        </w:tc>
        <w:tc>
          <w:tcPr>
            <w:tcW w:type="dxa" w:w="2880"/>
          </w:tcPr>
          <w:p>
            <w:r>
              <w:rPr>
                <w:rFonts w:ascii="Calibri" w:hAnsi="Calibri"/>
                <w:sz w:val="22"/>
              </w:rPr>
              <w:t>September quarter gross margin guided at 62.5% ± 1pp, “up 75 bps from guidance last quarter.” Memory pricing headwinds of ~100 bps expected to continue through 2027.</w:t>
            </w:r>
          </w:p>
        </w:tc>
        <w:tc>
          <w:tcPr>
            <w:tcW w:type="dxa" w:w="2880"/>
          </w:tcPr>
          <w:p>
            <w:r>
              <w:rPr>
                <w:rFonts w:ascii="Calibri" w:hAnsi="Calibri"/>
                <w:b/>
                <w:color w:val="30A46C"/>
                <w:sz w:val="22"/>
              </w:rPr>
              <w:t>Neutral. KLAC’s margin structure is different from LRCX’s; LRCX guided ~50.5% with customer mix headwinds. KLAC’s improving margins suggest pricing power in the sector.</w:t>
            </w:r>
          </w:p>
        </w:tc>
      </w:tr>
    </w:tbl>
    <w:p>
      <w:pPr>
        <w:pStyle w:val="Heading3"/>
      </w:pPr>
      <w:r>
        <w:rPr>
          <w:rFonts w:ascii="Calibri" w:hAnsi="Calibri"/>
          <w:b/>
          <w:color w:val="3B4259"/>
          <w:sz w:val="24"/>
        </w:rPr>
        <w:t>ASML Holding — Q2 2026 Earnings Call, July 15,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ASML Commentary (July 15, 2026)</w:t>
            </w:r>
          </w:p>
        </w:tc>
        <w:tc>
          <w:tcPr>
            <w:tcW w:type="dxa" w:w="2880"/>
            <w:shd w:val="clear" w:color="auto" w:fill="3B4259"/>
          </w:tcPr>
          <w:p>
            <w:r>
              <w:rPr>
                <w:rFonts w:ascii="Calibri" w:hAnsi="Calibri"/>
                <w:b/>
                <w:color w:val="FFFFFF"/>
                <w:sz w:val="22"/>
              </w:rPr>
              <w:t>LRCX Read-Through</w:t>
            </w:r>
          </w:p>
        </w:tc>
      </w:tr>
      <w:tr>
        <w:tc>
          <w:tcPr>
            <w:tcW w:type="dxa" w:w="2880"/>
          </w:tcPr>
          <w:p>
            <w:r>
              <w:rPr>
                <w:rFonts w:ascii="Calibri" w:hAnsi="Calibri"/>
                <w:sz w:val="22"/>
              </w:rPr>
              <w:t>Full-Year 2026 Guidance Raise</w:t>
            </w:r>
          </w:p>
        </w:tc>
        <w:tc>
          <w:tcPr>
            <w:tcW w:type="dxa" w:w="2880"/>
          </w:tcPr>
          <w:p>
            <w:r>
              <w:rPr>
                <w:rFonts w:ascii="Calibri" w:hAnsi="Calibri"/>
                <w:sz w:val="22"/>
              </w:rPr>
              <w:t>Raised 2026 net sales guidance to €43–45B (from €36–40B) and gross margin to 54–56% (from 51–53%). Q3 2026 guided at €11–12B. “Continued strong momentum in customer demand.”</w:t>
            </w:r>
          </w:p>
        </w:tc>
        <w:tc>
          <w:tcPr>
            <w:tcW w:type="dxa" w:w="2880"/>
          </w:tcPr>
          <w:p>
            <w:r>
              <w:rPr>
                <w:rFonts w:ascii="Calibri" w:hAnsi="Calibri"/>
                <w:b/>
                <w:color w:val="30A46C"/>
                <w:sz w:val="22"/>
              </w:rPr>
              <w:t>Strongly positive. ASML’s guidance raise well above all Street estimates signals demand is accelerating faster than expected — directly positive for LRCX’s June-quarter results and H2 outlook.</w:t>
            </w:r>
          </w:p>
        </w:tc>
      </w:tr>
      <w:tr>
        <w:tc>
          <w:tcPr>
            <w:tcW w:type="dxa" w:w="2880"/>
          </w:tcPr>
          <w:p>
            <w:r>
              <w:rPr>
                <w:rFonts w:ascii="Calibri" w:hAnsi="Calibri"/>
                <w:sz w:val="22"/>
              </w:rPr>
              <w:t>Customer Capacity Expansion</w:t>
            </w:r>
          </w:p>
        </w:tc>
        <w:tc>
          <w:tcPr>
            <w:tcW w:type="dxa" w:w="2880"/>
          </w:tcPr>
          <w:p>
            <w:r>
              <w:rPr>
                <w:rFonts w:ascii="Calibri" w:hAnsi="Calibri"/>
                <w:sz w:val="22"/>
              </w:rPr>
              <w:t>“Customers continue to accelerate their capacity expansion plans.” Planning 30% EUV capacity increase for 2027 (to ~85 tools) and investigating another 30% for 2028. “2027 order book nearly full for low-NA EUV.”</w:t>
            </w:r>
          </w:p>
        </w:tc>
        <w:tc>
          <w:tcPr>
            <w:tcW w:type="dxa" w:w="2880"/>
          </w:tcPr>
          <w:p>
            <w:r>
              <w:rPr>
                <w:rFonts w:ascii="Calibri" w:hAnsi="Calibri"/>
                <w:b/>
                <w:color w:val="30A46C"/>
                <w:sz w:val="22"/>
              </w:rPr>
              <w:t>Positive. Accelerating customer capex plans translate directly into higher WFE demand for all equipment suppliers including LRCX. 2027 and 2028 capacity expansion plans support LRCX’s multi-year growth narrative.</w:t>
            </w:r>
          </w:p>
        </w:tc>
      </w:tr>
      <w:tr>
        <w:tc>
          <w:tcPr>
            <w:tcW w:type="dxa" w:w="2880"/>
          </w:tcPr>
          <w:p>
            <w:r>
              <w:rPr>
                <w:rFonts w:ascii="Calibri" w:hAnsi="Calibri"/>
                <w:sz w:val="22"/>
              </w:rPr>
              <w:t>AI Logic / Foundry</w:t>
            </w:r>
          </w:p>
        </w:tc>
        <w:tc>
          <w:tcPr>
            <w:tcW w:type="dxa" w:w="2880"/>
          </w:tcPr>
          <w:p>
            <w:r>
              <w:rPr>
                <w:rFonts w:ascii="Calibri" w:hAnsi="Calibri"/>
                <w:sz w:val="22"/>
              </w:rPr>
              <w:t>“Continued investment not only to enable expansion of 3nm capacity but also at 5nm and 4nm nodes.” “2nm node continues to ramp rapidly.” Customers already planning 1.4nm investments. Advanced logic foundry net system sales to grow &gt;25% in 2026.</w:t>
            </w:r>
          </w:p>
        </w:tc>
        <w:tc>
          <w:tcPr>
            <w:tcW w:type="dxa" w:w="2880"/>
          </w:tcPr>
          <w:p>
            <w:r>
              <w:rPr>
                <w:rFonts w:ascii="Calibri" w:hAnsi="Calibri"/>
                <w:b/>
                <w:color w:val="30A46C"/>
                <w:sz w:val="22"/>
              </w:rPr>
              <w:t>Positive. Multi-node investment across leading-edge logic drives etch/deposition intensity — core LRCX markets. LRCX’s new Akara conductor etch platform and dielectric etch wins at a key foundry customer are well-timed.</w:t>
            </w:r>
          </w:p>
        </w:tc>
      </w:tr>
      <w:tr>
        <w:tc>
          <w:tcPr>
            <w:tcW w:type="dxa" w:w="2880"/>
          </w:tcPr>
          <w:p>
            <w:r>
              <w:rPr>
                <w:rFonts w:ascii="Calibri" w:hAnsi="Calibri"/>
                <w:sz w:val="22"/>
              </w:rPr>
              <w:t>DRAM / Memory</w:t>
            </w:r>
          </w:p>
        </w:tc>
        <w:tc>
          <w:tcPr>
            <w:tcW w:type="dxa" w:w="2880"/>
          </w:tcPr>
          <w:p>
            <w:r>
              <w:rPr>
                <w:rFonts w:ascii="Calibri" w:hAnsi="Calibri"/>
                <w:sz w:val="22"/>
              </w:rPr>
              <w:t>Memory net system sales to grow &gt;75% in 2026. “Supply challenges driving up DDR and HBM prices have prompted significant investments in fab expansion.” Customers adding capacity and planning “multiple mega fabs.” 1C node “going to be an enormous node.”</w:t>
            </w:r>
          </w:p>
        </w:tc>
        <w:tc>
          <w:tcPr>
            <w:tcW w:type="dxa" w:w="2880"/>
          </w:tcPr>
          <w:p>
            <w:r>
              <w:rPr>
                <w:rFonts w:ascii="Calibri" w:hAnsi="Calibri"/>
                <w:b/>
                <w:color w:val="30A46C"/>
                <w:sz w:val="22"/>
              </w:rPr>
              <w:t>Strongly positive. DRAM investment acceleration is a direct tailwind for LRCX’s DRAM etch/deposition tools. LRCX’s Striker carbide solution is tool of record at all leading memory makers for 1C bitline spacer applications.</w:t>
            </w:r>
          </w:p>
        </w:tc>
      </w:tr>
      <w:tr>
        <w:tc>
          <w:tcPr>
            <w:tcW w:type="dxa" w:w="2880"/>
          </w:tcPr>
          <w:p>
            <w:r>
              <w:rPr>
                <w:rFonts w:ascii="Calibri" w:hAnsi="Calibri"/>
                <w:sz w:val="22"/>
              </w:rPr>
              <w:t>China Revenue</w:t>
            </w:r>
          </w:p>
        </w:tc>
        <w:tc>
          <w:tcPr>
            <w:tcW w:type="dxa" w:w="2880"/>
          </w:tcPr>
          <w:p>
            <w:r>
              <w:rPr>
                <w:rFonts w:ascii="Calibri" w:hAnsi="Calibri"/>
                <w:sz w:val="22"/>
              </w:rPr>
              <w:t>China expected to be ~20% of full-year 2026 net sales, “increasing in line with overall business, mainly related to increased demand in mainstream logic.”</w:t>
            </w:r>
          </w:p>
        </w:tc>
        <w:tc>
          <w:tcPr>
            <w:tcW w:type="dxa" w:w="2880"/>
          </w:tcPr>
          <w:p>
            <w:r>
              <w:rPr>
                <w:rFonts w:ascii="Calibri" w:hAnsi="Calibri"/>
                <w:sz w:val="22"/>
              </w:rPr>
              <w:t>Neutral/slightly negative for LRCX. LRCX guided China to decline from 34% in FQ3 to &lt;30% for full-year 2026. ASML’s China mix is lower and more stable; LRCX faces a larger normalization headwind.</w:t>
            </w:r>
          </w:p>
        </w:tc>
      </w:tr>
      <w:tr>
        <w:tc>
          <w:tcPr>
            <w:tcW w:type="dxa" w:w="2880"/>
          </w:tcPr>
          <w:p>
            <w:r>
              <w:rPr>
                <w:rFonts w:ascii="Calibri" w:hAnsi="Calibri"/>
                <w:sz w:val="22"/>
              </w:rPr>
              <w:t>Installed Base / Upgrades</w:t>
            </w:r>
          </w:p>
        </w:tc>
        <w:tc>
          <w:tcPr>
            <w:tcW w:type="dxa" w:w="2880"/>
          </w:tcPr>
          <w:p>
            <w:r>
              <w:rPr>
                <w:rFonts w:ascii="Calibri" w:hAnsi="Calibri"/>
                <w:sz w:val="22"/>
              </w:rPr>
              <w:t>Installed base management sales to grow &gt;30% in 2026. “Very strong condition for system upgrade” as customers want more capacity from existing fabs quickly. Developing upgrade products for all EUV/immersion tool versions.</w:t>
            </w:r>
          </w:p>
        </w:tc>
        <w:tc>
          <w:tcPr>
            <w:tcW w:type="dxa" w:w="2880"/>
          </w:tcPr>
          <w:p>
            <w:r>
              <w:rPr>
                <w:rFonts w:ascii="Calibri" w:hAnsi="Calibri"/>
                <w:b/>
                <w:color w:val="30A46C"/>
                <w:sz w:val="22"/>
              </w:rPr>
              <w:t>Positive. Analogous to LRCX’s CSBG business — high utilization drives upgrades and services demand. LRCX’s CSBG delivered its first $2B+ quarter in FQ3 2026.</w:t>
            </w:r>
          </w:p>
        </w:tc>
      </w:tr>
    </w:tbl>
    <w:p>
      <w:pPr>
        <w:pStyle w:val="Heading3"/>
      </w:pPr>
      <w:r>
        <w:rPr>
          <w:rFonts w:ascii="Calibri" w:hAnsi="Calibri"/>
          <w:b/>
          <w:color w:val="3B4259"/>
          <w:sz w:val="24"/>
        </w:rPr>
        <w:t>Applied Materials (AMAT) — FQ2 2026 Earnings Call, May 14,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AMAT Commentary (May 14, 2026)</w:t>
            </w:r>
          </w:p>
        </w:tc>
        <w:tc>
          <w:tcPr>
            <w:tcW w:type="dxa" w:w="2880"/>
            <w:shd w:val="clear" w:color="auto" w:fill="3B4259"/>
          </w:tcPr>
          <w:p>
            <w:r>
              <w:rPr>
                <w:rFonts w:ascii="Calibri" w:hAnsi="Calibri"/>
                <w:b/>
                <w:color w:val="FFFFFF"/>
                <w:sz w:val="22"/>
              </w:rPr>
              <w:t>LRCX Read-Through</w:t>
            </w:r>
          </w:p>
        </w:tc>
      </w:tr>
      <w:tr>
        <w:tc>
          <w:tcPr>
            <w:tcW w:type="dxa" w:w="2880"/>
          </w:tcPr>
          <w:p>
            <w:r>
              <w:rPr>
                <w:rFonts w:ascii="Calibri" w:hAnsi="Calibri"/>
                <w:sz w:val="22"/>
              </w:rPr>
              <w:t>Semi Equipment Growth Outlook</w:t>
            </w:r>
          </w:p>
        </w:tc>
        <w:tc>
          <w:tcPr>
            <w:tcW w:type="dxa" w:w="2880"/>
          </w:tcPr>
          <w:p>
            <w:r>
              <w:rPr>
                <w:rFonts w:ascii="Calibri" w:hAnsi="Calibri"/>
                <w:sz w:val="22"/>
              </w:rPr>
              <w:t>“We now expect our semiconductor equipment business will grow more than 30% this calendar year.” H2 2026 equipment revenue implied at ~$14.5–15B. “Demand signal is very strong.” Customers increased orders in the last 90 days.</w:t>
            </w:r>
          </w:p>
        </w:tc>
        <w:tc>
          <w:tcPr>
            <w:tcW w:type="dxa" w:w="2880"/>
          </w:tcPr>
          <w:p>
            <w:r>
              <w:rPr>
                <w:rFonts w:ascii="Calibri" w:hAnsi="Calibri"/>
                <w:b/>
                <w:color w:val="30A46C"/>
                <w:sz w:val="22"/>
              </w:rPr>
              <w:t>Strongly positive. AMAT’s &gt;30% equipment growth upgrade (from prior guidance) is consistent with LRCX’s WFE upgrade to $140B and supports the June-quarter revenue setup.</w:t>
            </w:r>
          </w:p>
        </w:tc>
      </w:tr>
      <w:tr>
        <w:tc>
          <w:tcPr>
            <w:tcW w:type="dxa" w:w="2880"/>
          </w:tcPr>
          <w:p>
            <w:r>
              <w:rPr>
                <w:rFonts w:ascii="Calibri" w:hAnsi="Calibri"/>
                <w:sz w:val="22"/>
              </w:rPr>
              <w:t>2027 Outlook</w:t>
            </w:r>
          </w:p>
        </w:tc>
        <w:tc>
          <w:tcPr>
            <w:tcW w:type="dxa" w:w="2880"/>
          </w:tcPr>
          <w:p>
            <w:r>
              <w:rPr>
                <w:rFonts w:ascii="Calibri" w:hAnsi="Calibri"/>
                <w:sz w:val="22"/>
              </w:rPr>
              <w:t>“2027 will be another strong record year for the industry.” Customers providing “rolling 8-quarter forecasts.” “Continued growth across this extended planning horizon into 2027 and beyond.” Customers giving visibility into 2028.</w:t>
            </w:r>
          </w:p>
        </w:tc>
        <w:tc>
          <w:tcPr>
            <w:tcW w:type="dxa" w:w="2880"/>
          </w:tcPr>
          <w:p>
            <w:r>
              <w:rPr>
                <w:rFonts w:ascii="Calibri" w:hAnsi="Calibri"/>
                <w:b/>
                <w:color w:val="30A46C"/>
                <w:sz w:val="22"/>
              </w:rPr>
              <w:t>Positive. Multi-year demand visibility supports LRCX’s long-term financial model update and the FY2027 estimate revision trend (+3.6% since April print).</w:t>
            </w:r>
          </w:p>
        </w:tc>
      </w:tr>
      <w:tr>
        <w:tc>
          <w:tcPr>
            <w:tcW w:type="dxa" w:w="2880"/>
          </w:tcPr>
          <w:p>
            <w:r>
              <w:rPr>
                <w:rFonts w:ascii="Calibri" w:hAnsi="Calibri"/>
                <w:sz w:val="22"/>
              </w:rPr>
              <w:t>Clean Room Constraints</w:t>
            </w:r>
          </w:p>
        </w:tc>
        <w:tc>
          <w:tcPr>
            <w:tcW w:type="dxa" w:w="2880"/>
          </w:tcPr>
          <w:p>
            <w:r>
              <w:rPr>
                <w:rFonts w:ascii="Calibri" w:hAnsi="Calibri"/>
                <w:sz w:val="22"/>
              </w:rPr>
              <w:t>“As customers find new ways to reallocate or create space, we are seeing incremental requests for equipment deliveries in 2026.” Tracking &gt;100 factory projects globally, added &gt;10 in last quarter. “Most leading-edge logic and DRAM fabs are running at full capacity.”</w:t>
            </w:r>
          </w:p>
        </w:tc>
        <w:tc>
          <w:tcPr>
            <w:tcW w:type="dxa" w:w="2880"/>
          </w:tcPr>
          <w:p>
            <w:r>
              <w:rPr>
                <w:rFonts w:ascii="Calibri" w:hAnsi="Calibri"/>
                <w:b/>
                <w:color w:val="30A46C"/>
                <w:sz w:val="22"/>
              </w:rPr>
              <w:t>Positive. LRCX management cited clean room relief as the driver of the WFE upgrade to $140B; AMAT’s commentary confirms this dynamic is industry-wide and ongoing.</w:t>
            </w:r>
          </w:p>
        </w:tc>
      </w:tr>
      <w:tr>
        <w:tc>
          <w:tcPr>
            <w:tcW w:type="dxa" w:w="2880"/>
          </w:tcPr>
          <w:p>
            <w:r>
              <w:rPr>
                <w:rFonts w:ascii="Calibri" w:hAnsi="Calibri"/>
                <w:sz w:val="22"/>
              </w:rPr>
              <w:t>DRAM</w:t>
            </w:r>
          </w:p>
        </w:tc>
        <w:tc>
          <w:tcPr>
            <w:tcW w:type="dxa" w:w="2880"/>
          </w:tcPr>
          <w:p>
            <w:r>
              <w:rPr>
                <w:rFonts w:ascii="Calibri" w:hAnsi="Calibri"/>
                <w:sz w:val="22"/>
              </w:rPr>
              <w:t>“AI computing is driving incredibly strong demand” in DRAM. Customers “aggressively adding capacity at 6F² nodes.” DRAM and leading-edge logic both “accelerating in the second half” of calendar 2026.</w:t>
            </w:r>
          </w:p>
        </w:tc>
        <w:tc>
          <w:tcPr>
            <w:tcW w:type="dxa" w:w="2880"/>
          </w:tcPr>
          <w:p>
            <w:r>
              <w:rPr>
                <w:rFonts w:ascii="Calibri" w:hAnsi="Calibri"/>
                <w:b/>
                <w:color w:val="30A46C"/>
                <w:sz w:val="22"/>
              </w:rPr>
              <w:t>Positive. DRAM acceleration in H2 2026 is a direct tailwind for LRCX’s systems revenue, which saw record DRAM mix (27%) in FQ3 2026.</w:t>
            </w:r>
          </w:p>
        </w:tc>
      </w:tr>
      <w:tr>
        <w:tc>
          <w:tcPr>
            <w:tcW w:type="dxa" w:w="2880"/>
          </w:tcPr>
          <w:p>
            <w:r>
              <w:rPr>
                <w:rFonts w:ascii="Calibri" w:hAnsi="Calibri"/>
                <w:sz w:val="22"/>
              </w:rPr>
              <w:t>NAND</w:t>
            </w:r>
          </w:p>
        </w:tc>
        <w:tc>
          <w:tcPr>
            <w:tcW w:type="dxa" w:w="2880"/>
          </w:tcPr>
          <w:p>
            <w:r>
              <w:rPr>
                <w:rFonts w:ascii="Calibri" w:hAnsi="Calibri"/>
                <w:sz w:val="22"/>
              </w:rPr>
              <w:t>Raised NAND bit growth forecast by “a few percentage points.” Demand to be “satisfied by upgrades” — “do not expect a lot of new wafer starts on the NAND side.” Greenfield NAND scheduled for 2028.</w:t>
            </w:r>
          </w:p>
        </w:tc>
        <w:tc>
          <w:tcPr>
            <w:tcW w:type="dxa" w:w="2880"/>
          </w:tcPr>
          <w:p>
            <w:r>
              <w:rPr>
                <w:rFonts w:ascii="Calibri" w:hAnsi="Calibri"/>
                <w:b/>
                <w:color w:val="30A46C"/>
                <w:sz w:val="22"/>
              </w:rPr>
              <w:t>Positive for LRCX near-term (upgrade cycle is LRCX’s core NAND thesis). Greenfield NAND in 2028 is incremental upside beyond the current upgrade cycle.</w:t>
            </w:r>
          </w:p>
        </w:tc>
      </w:tr>
      <w:tr>
        <w:tc>
          <w:tcPr>
            <w:tcW w:type="dxa" w:w="2880"/>
          </w:tcPr>
          <w:p>
            <w:r>
              <w:rPr>
                <w:rFonts w:ascii="Calibri" w:hAnsi="Calibri"/>
                <w:sz w:val="22"/>
              </w:rPr>
              <w:t>Advanced Packaging</w:t>
            </w:r>
          </w:p>
        </w:tc>
        <w:tc>
          <w:tcPr>
            <w:tcW w:type="dxa" w:w="2880"/>
          </w:tcPr>
          <w:p>
            <w:r>
              <w:rPr>
                <w:rFonts w:ascii="Calibri" w:hAnsi="Calibri"/>
                <w:sz w:val="22"/>
              </w:rPr>
              <w:t>“Expect to grow our packaging revenues more than 50% in calendar 2026.” Announced intent to acquire NEXX to strengthen panel-level technologies. “One of the most exciting areas driving compute architecture innovation.”</w:t>
            </w:r>
          </w:p>
        </w:tc>
        <w:tc>
          <w:tcPr>
            <w:tcW w:type="dxa" w:w="2880"/>
          </w:tcPr>
          <w:p>
            <w:r>
              <w:rPr>
                <w:rFonts w:ascii="Calibri" w:hAnsi="Calibri"/>
                <w:b/>
                <w:color w:val="30A46C"/>
                <w:sz w:val="22"/>
              </w:rPr>
              <w:t>Positive. LRCX also guided advanced packaging revenue growth &gt;50% in calendar 2026; AMAT’s commentary validates the market growth rate and the strategic importance of panel-level packaging.</w:t>
            </w:r>
          </w:p>
        </w:tc>
      </w:tr>
      <w:tr>
        <w:tc>
          <w:tcPr>
            <w:tcW w:type="dxa" w:w="2880"/>
          </w:tcPr>
          <w:p>
            <w:r>
              <w:rPr>
                <w:rFonts w:ascii="Calibri" w:hAnsi="Calibri"/>
                <w:sz w:val="22"/>
              </w:rPr>
              <w:t>China</w:t>
            </w:r>
          </w:p>
        </w:tc>
        <w:tc>
          <w:tcPr>
            <w:tcW w:type="dxa" w:w="2880"/>
          </w:tcPr>
          <w:p>
            <w:r>
              <w:rPr>
                <w:rFonts w:ascii="Calibri" w:hAnsi="Calibri"/>
                <w:sz w:val="22"/>
              </w:rPr>
              <w:t>China was 24% of semi systems + AGS revenue. Expects China and ICAPS business “flat to slightly higher in the calendar year.”</w:t>
            </w:r>
          </w:p>
        </w:tc>
        <w:tc>
          <w:tcPr>
            <w:tcW w:type="dxa" w:w="2880"/>
          </w:tcPr>
          <w:p>
            <w:r>
              <w:rPr>
                <w:rFonts w:ascii="Calibri" w:hAnsi="Calibri"/>
                <w:sz w:val="22"/>
              </w:rPr>
              <w:t>Neutral. AMAT’s China exposure is more stable than LRCX’s; LRCX faces a larger normalization from 34% in FQ3 to &lt;30% for full-year 2026.</w:t>
            </w:r>
          </w:p>
        </w:tc>
      </w:tr>
    </w:tbl>
    <w:p>
      <w:pPr>
        <w:pStyle w:val="Heading3"/>
      </w:pPr>
      <w:r>
        <w:rPr>
          <w:rFonts w:ascii="Calibri" w:hAnsi="Calibri"/>
          <w:b/>
          <w:color w:val="3B4259"/>
          <w:sz w:val="24"/>
        </w:rPr>
        <w:t>Applied Materials (AMAT) — DRAM &amp; Advanced Packaging Master Class, June 25,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AMAT Commentary (June 25, 2026)</w:t>
            </w:r>
          </w:p>
        </w:tc>
        <w:tc>
          <w:tcPr>
            <w:tcW w:type="dxa" w:w="2880"/>
            <w:shd w:val="clear" w:color="auto" w:fill="3B4259"/>
          </w:tcPr>
          <w:p>
            <w:r>
              <w:rPr>
                <w:rFonts w:ascii="Calibri" w:hAnsi="Calibri"/>
                <w:b/>
                <w:color w:val="FFFFFF"/>
                <w:sz w:val="22"/>
              </w:rPr>
              <w:t>LRCX Read-Through</w:t>
            </w:r>
          </w:p>
        </w:tc>
      </w:tr>
      <w:tr>
        <w:tc>
          <w:tcPr>
            <w:tcW w:type="dxa" w:w="2880"/>
          </w:tcPr>
          <w:p>
            <w:r>
              <w:rPr>
                <w:rFonts w:ascii="Calibri" w:hAnsi="Calibri"/>
                <w:sz w:val="22"/>
              </w:rPr>
              <w:t>WFE Growth Drivers</w:t>
            </w:r>
          </w:p>
        </w:tc>
        <w:tc>
          <w:tcPr>
            <w:tcW w:type="dxa" w:w="2880"/>
          </w:tcPr>
          <w:p>
            <w:r>
              <w:rPr>
                <w:rFonts w:ascii="Calibri" w:hAnsi="Calibri"/>
                <w:sz w:val="22"/>
              </w:rPr>
              <w:t>“Virtually all WFE growth is being generated by additive waves of data center AI demand.” “Over 80% of WFE growth is coming from leading-edge foundry logic, DRAM, and advanced packaging.” AI driving semiconductor industry to ~$1T in annual sales in 2026.</w:t>
            </w:r>
          </w:p>
        </w:tc>
        <w:tc>
          <w:tcPr>
            <w:tcW w:type="dxa" w:w="2880"/>
          </w:tcPr>
          <w:p>
            <w:r>
              <w:rPr>
                <w:rFonts w:ascii="Calibri" w:hAnsi="Calibri"/>
                <w:b/>
                <w:color w:val="30A46C"/>
                <w:sz w:val="22"/>
              </w:rPr>
              <w:t>Positive. LRCX’s SAM expansion strategy is concentrated in exactly these three areas; AMAT’s framing validates the structural demand thesis.</w:t>
            </w:r>
          </w:p>
        </w:tc>
      </w:tr>
      <w:tr>
        <w:tc>
          <w:tcPr>
            <w:tcW w:type="dxa" w:w="2880"/>
          </w:tcPr>
          <w:p>
            <w:r>
              <w:rPr>
                <w:rFonts w:ascii="Calibri" w:hAnsi="Calibri"/>
                <w:sz w:val="22"/>
              </w:rPr>
              <w:t>DRAM Outlook (Multi-Year)</w:t>
            </w:r>
          </w:p>
        </w:tc>
        <w:tc>
          <w:tcPr>
            <w:tcW w:type="dxa" w:w="2880"/>
          </w:tcPr>
          <w:p>
            <w:r>
              <w:rPr>
                <w:rFonts w:ascii="Calibri" w:hAnsi="Calibri"/>
                <w:sz w:val="22"/>
              </w:rPr>
              <w:t>DRAM WFE spending expected to be “well over two times NAND spending for the foreseeable future.” Multiple DRAM inflections ahead: EUV adoption, FinFET transistors, CMOS bonded array, 4F², and eventually 3D DRAM. HBM4 to feature 2048-bit interface and advanced logic base die.</w:t>
            </w:r>
          </w:p>
        </w:tc>
        <w:tc>
          <w:tcPr>
            <w:tcW w:type="dxa" w:w="2880"/>
          </w:tcPr>
          <w:p>
            <w:r>
              <w:rPr>
                <w:rFonts w:ascii="Calibri" w:hAnsi="Calibri"/>
                <w:b/>
                <w:color w:val="30A46C"/>
                <w:sz w:val="22"/>
              </w:rPr>
              <w:t>Positive. LRCX’s DRAM SAM is expected to grow &gt;20% as the industry moves to 1C nodes; multi-year DRAM inflections are a sustained tailwind for Lam’s deposition and etch tools.</w:t>
            </w:r>
          </w:p>
        </w:tc>
      </w:tr>
      <w:tr>
        <w:tc>
          <w:tcPr>
            <w:tcW w:type="dxa" w:w="2880"/>
          </w:tcPr>
          <w:p>
            <w:r>
              <w:rPr>
                <w:rFonts w:ascii="Calibri" w:hAnsi="Calibri"/>
                <w:sz w:val="22"/>
              </w:rPr>
              <w:t>Advanced Packaging (Multi-Year)</w:t>
            </w:r>
          </w:p>
        </w:tc>
        <w:tc>
          <w:tcPr>
            <w:tcW w:type="dxa" w:w="2880"/>
          </w:tcPr>
          <w:p>
            <w:r>
              <w:rPr>
                <w:rFonts w:ascii="Calibri" w:hAnsi="Calibri"/>
                <w:sz w:val="22"/>
              </w:rPr>
              <w:t>Advanced packaging revenue expected to exceed $2B in 2026, growing &gt;50%. Industry moving from silicon wafer interposers to panels for larger AI accelerators. Panel technology “two to three years out in terms of high volume, but equipment selections are happening now.”</w:t>
            </w:r>
          </w:p>
        </w:tc>
        <w:tc>
          <w:tcPr>
            <w:tcW w:type="dxa" w:w="2880"/>
          </w:tcPr>
          <w:p>
            <w:r>
              <w:rPr>
                <w:rFonts w:ascii="Calibri" w:hAnsi="Calibri"/>
                <w:b/>
                <w:color w:val="30A46C"/>
                <w:sz w:val="22"/>
              </w:rPr>
              <w:t>Positive. LRCX opened its Panel-Level Packaging Center of Excellence in Salzburg in May 2026 and is making active shipments; AMAT’s panel timeline is consistent with LRCX’s positioning.</w:t>
            </w:r>
          </w:p>
        </w:tc>
      </w:tr>
      <w:tr>
        <w:tc>
          <w:tcPr>
            <w:tcW w:type="dxa" w:w="2880"/>
          </w:tcPr>
          <w:p>
            <w:r>
              <w:rPr>
                <w:rFonts w:ascii="Calibri" w:hAnsi="Calibri"/>
                <w:sz w:val="22"/>
              </w:rPr>
              <w:t>Fab Capacity</w:t>
            </w:r>
          </w:p>
        </w:tc>
        <w:tc>
          <w:tcPr>
            <w:tcW w:type="dxa" w:w="2880"/>
          </w:tcPr>
          <w:p>
            <w:r>
              <w:rPr>
                <w:rFonts w:ascii="Calibri" w:hAnsi="Calibri"/>
                <w:sz w:val="22"/>
              </w:rPr>
              <w:t>“Today the problem really is fab capacity. A lot of that has to be added which means you’ll have to buy more equipment.” Expects more capacity and more bits to be added in the future.</w:t>
            </w:r>
          </w:p>
        </w:tc>
        <w:tc>
          <w:tcPr>
            <w:tcW w:type="dxa" w:w="2880"/>
          </w:tcPr>
          <w:p>
            <w:r>
              <w:rPr>
                <w:rFonts w:ascii="Calibri" w:hAnsi="Calibri"/>
                <w:b/>
                <w:color w:val="30A46C"/>
                <w:sz w:val="22"/>
              </w:rPr>
              <w:t>Positive. Capacity constraints are the primary gating factor for WFE growth; AMAT’s commentary confirms the demand-supply dynamic that drove LRCX’s WFE upgrade to $140B.</w:t>
            </w:r>
          </w:p>
        </w:tc>
      </w:tr>
    </w:tbl>
    <w:p>
      <w:pPr>
        <w:pStyle w:val="Heading3"/>
      </w:pPr>
      <w:r>
        <w:rPr>
          <w:rFonts w:ascii="Calibri" w:hAnsi="Calibri"/>
          <w:b/>
          <w:color w:val="3B4259"/>
          <w:sz w:val="24"/>
        </w:rPr>
        <w:t>Teradyne (TER) — Q2 2026 Earnings, July 28, 2026</w:t>
      </w:r>
    </w:p>
    <w:p>
      <w:r>
        <w:rPr>
          <w:rFonts w:ascii="Calibri" w:hAnsi="Calibri"/>
          <w:color w:val="525866"/>
          <w:sz w:val="22"/>
        </w:rPr>
        <w:t>Teradyne reported robust Q2 2026 results on July 28, with EPS of $2.47 (vs. consensus $2.04) and revenue of $1.33B (vs. consensus $1.22B), driven by AI-related semiconductor testing demand. Q3 2026 guidance was issued at revenue of $1.2–1.3B and EPS of $1.85–2.15, well above consensus of $1.46. While Teradyne’s semiconductor test business is distinct from Lam’s etch/deposition focus, the strong beat-and-raise confirms that AI-driven semiconductor demand is broad-based and accelerating across the equipment ecosystem — a positive read-through for LRCX’s June-quarter setup.</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April 22 earnings call is the </w:t>
      </w:r>
      <w:r>
        <w:rPr>
          <w:rFonts w:ascii="Calibri" w:hAnsi="Calibri"/>
          <w:b/>
          <w:color w:val="525866"/>
          <w:sz w:val="22"/>
        </w:rPr>
        <w:t>KLAC WFE upgrade to ~$150B on July 28</w:t>
      </w:r>
      <w:r>
        <w:rPr>
          <w:rFonts w:ascii="Calibri" w:hAnsi="Calibri"/>
          <w:color w:val="525866"/>
          <w:sz w:val="22"/>
        </w:rPr>
        <w:t>, which implies Lam may similarly raise its 2026 WFE outlook above $140B on the July 29 call — a potential catalyst for re-rating. The sharp stock selloff driven by ASML/China DUV headlines (July 27–28) has created a potentially attractive entry point.</w:t>
      </w:r>
    </w:p>
    <w:p>
      <w:pPr>
        <w:pStyle w:val="ListBullet"/>
        <w:ind w:left="360" w:hanging="360"/>
      </w:pPr>
      <w:r>
        <w:rPr>
          <w:rFonts w:ascii="Calibri" w:hAnsi="Calibri"/>
          <w:b/>
          <w:color w:val="525866"/>
          <w:sz w:val="22"/>
        </w:rPr>
        <w:t xml:space="preserve">July 28, 2026 — KLAC Raises WFE Estimate to ~$150B: </w:t>
      </w:r>
      <w:r>
        <w:rPr>
          <w:rFonts w:ascii="Calibri" w:hAnsi="Calibri"/>
          <w:color w:val="525866"/>
          <w:sz w:val="22"/>
        </w:rPr>
        <w:t xml:space="preserve">KLA Corporation reported FQ4 2026 results and raised its 2026 WFE estimate (including advanced packaging) to the “low $150B range,” up from prior $140B+. CEO Rick Wallace cited “unprecedented visibility from customers” and guided for “significant growth in calendar 2027,” with a consensus 2027 WFE view of ~$190B. This is the most directly actionable read-through for LRCX’s July 29 call. </w:t>
      </w:r>
      <w:r>
        <w:rPr>
          <w:rFonts w:ascii="Calibri" w:hAnsi="Calibri"/>
          <w:b/>
          <w:color w:val="525866"/>
          <w:sz w:val="22"/>
        </w:rPr>
        <w:t>Implication: LRCX may raise its own WFE outlook from $140B to $145–150B+, which would be a positive catalyst.</w:t>
      </w:r>
    </w:p>
    <w:p>
      <w:pPr>
        <w:pStyle w:val="ListBullet"/>
        <w:ind w:left="360" w:hanging="360"/>
      </w:pPr>
      <w:r>
        <w:rPr>
          <w:rFonts w:ascii="Calibri" w:hAnsi="Calibri"/>
          <w:b/>
          <w:color w:val="525866"/>
          <w:sz w:val="22"/>
        </w:rPr>
        <w:t xml:space="preserve">July 27–28, 2026 — ASML/China DUV Selloff: </w:t>
      </w:r>
      <w:r>
        <w:rPr>
          <w:rFonts w:ascii="Calibri" w:hAnsi="Calibri"/>
          <w:color w:val="525866"/>
          <w:sz w:val="22"/>
        </w:rPr>
        <w:t xml:space="preserve">Reports emerged that a Chinese state-backed firm has begun mass-producing DUV immersion lithography machines, triggering a sharp selloff in semiconductor equipment stocks. ASML fell ~8% and LRCX fell to ~$270 from its recent range of $300–350. J.P. Morgan analyst Sandeep Deshpande characterized the ASML selloff as “seems disproportionate” and “sentiment-driven.” </w:t>
      </w:r>
      <w:r>
        <w:rPr>
          <w:rFonts w:ascii="Calibri" w:hAnsi="Calibri"/>
          <w:b/>
          <w:color w:val="525866"/>
          <w:sz w:val="22"/>
        </w:rPr>
        <w:t>Implication: The selloff appears to be a sentiment/macro event rather than a fundamental change to LRCX’s business; Lam’s etch/deposition tools are not directly threatened by Chinese DUV competition.</w:t>
      </w:r>
    </w:p>
    <w:p>
      <w:pPr>
        <w:pStyle w:val="ListBullet"/>
        <w:ind w:left="360" w:hanging="360"/>
      </w:pPr>
      <w:r>
        <w:rPr>
          <w:rFonts w:ascii="Calibri" w:hAnsi="Calibri"/>
          <w:b/>
          <w:color w:val="525866"/>
          <w:sz w:val="22"/>
        </w:rPr>
        <w:t xml:space="preserve">July 15, 2026 — ASML Raises Full-Year Guidance: </w:t>
      </w:r>
      <w:r>
        <w:rPr>
          <w:rFonts w:ascii="Calibri" w:hAnsi="Calibri"/>
          <w:color w:val="525866"/>
          <w:sz w:val="22"/>
        </w:rPr>
        <w:t xml:space="preserve">ASML reported Q2 2026 results with revenue of €9.3B (vs. consensus €8.8B) and raised full-year 2026 guidance to €43–45B (from €36–40B). CEO Christophe Fouquet cited “continuous, very strong demand” and announced plans to increase EUV capacity by 30% in 2027. </w:t>
      </w:r>
      <w:r>
        <w:rPr>
          <w:rFonts w:ascii="Calibri" w:hAnsi="Calibri"/>
          <w:b/>
          <w:color w:val="525866"/>
          <w:sz w:val="22"/>
        </w:rPr>
        <w:t>Implication: ASML’s guidance raise well above all Street estimates confirms the WFE demand environment is stronger than expected — positive for LRCX’s June-quarter results.</w:t>
      </w:r>
    </w:p>
    <w:p>
      <w:pPr>
        <w:pStyle w:val="ListBullet"/>
        <w:ind w:left="360" w:hanging="360"/>
      </w:pPr>
      <w:r>
        <w:rPr>
          <w:rFonts w:ascii="Calibri" w:hAnsi="Calibri"/>
          <w:b/>
          <w:color w:val="525866"/>
          <w:sz w:val="22"/>
        </w:rPr>
        <w:t xml:space="preserve">July 8, 2026 — LRCX Announces June-Quarter Conference Call: </w:t>
      </w:r>
      <w:r>
        <w:rPr>
          <w:rFonts w:ascii="Calibri" w:hAnsi="Calibri"/>
          <w:color w:val="525866"/>
          <w:sz w:val="22"/>
        </w:rPr>
        <w:t>Lam Research announced its June-quarter financial results conference call for July 29, 2026 at 5:00 PM ET. No pre-announcement or guidance revision was issued alongside the announcement.</w:t>
      </w:r>
    </w:p>
    <w:p>
      <w:pPr>
        <w:pStyle w:val="ListBullet"/>
        <w:ind w:left="360" w:hanging="360"/>
      </w:pPr>
      <w:r>
        <w:rPr>
          <w:rFonts w:ascii="Calibri" w:hAnsi="Calibri"/>
          <w:b/>
          <w:color w:val="525866"/>
          <w:sz w:val="22"/>
        </w:rPr>
        <w:t xml:space="preserve">June 25, 2026 — AMAT DRAM &amp; Advanced Packaging Master Class: </w:t>
      </w:r>
      <w:r>
        <w:rPr>
          <w:rFonts w:ascii="Calibri" w:hAnsi="Calibri"/>
          <w:color w:val="525866"/>
          <w:sz w:val="22"/>
        </w:rPr>
        <w:t xml:space="preserve">Applied Materials hosted a master class covering DRAM and advanced packaging technology roadmaps. Key takeaways: DRAM WFE expected to be &gt;2x NAND for the foreseeable future; advanced packaging revenue to exceed $2B in 2026 (&gt;50% growth); panel-level packaging 2–3 years from high volume but equipment selections happening now. </w:t>
      </w:r>
      <w:r>
        <w:rPr>
          <w:rFonts w:ascii="Calibri" w:hAnsi="Calibri"/>
          <w:b/>
          <w:color w:val="525866"/>
          <w:sz w:val="22"/>
        </w:rPr>
        <w:t>Implication: Validates LRCX’s DRAM SAM expansion thesis and panel-level packaging positioning.</w:t>
      </w:r>
    </w:p>
    <w:p>
      <w:pPr>
        <w:pStyle w:val="ListBullet"/>
        <w:ind w:left="360" w:hanging="360"/>
      </w:pPr>
      <w:r>
        <w:rPr>
          <w:rFonts w:ascii="Calibri" w:hAnsi="Calibri"/>
          <w:b/>
          <w:color w:val="525866"/>
          <w:sz w:val="22"/>
        </w:rPr>
        <w:t xml:space="preserve">May 2026 — LRCX Opens Panel-Level Packaging Center of Excellence (Salzburg, Austria): </w:t>
      </w:r>
      <w:r>
        <w:rPr>
          <w:rFonts w:ascii="Calibri" w:hAnsi="Calibri"/>
          <w:color w:val="525866"/>
          <w:sz w:val="22"/>
        </w:rPr>
        <w:t xml:space="preserve">Lam opened its Panel-Level Packaging Center of Excellence in Salzburg, Austria (built on the 2022 Semsysco acquisition), signaling a strategic commitment to lead the industry transition from wafer-based to panel-based advanced packaging. Management confirmed active shipments of panel-level solutions. </w:t>
      </w:r>
      <w:r>
        <w:rPr>
          <w:rFonts w:ascii="Calibri" w:hAnsi="Calibri"/>
          <w:b/>
          <w:color w:val="525866"/>
          <w:sz w:val="22"/>
        </w:rPr>
        <w:t>Implication: Positions LRCX ahead of the panel inflection that AMAT and KLAC both identified as a major multi-year growth driver.</w:t>
      </w:r>
    </w:p>
    <w:p>
      <w:pPr>
        <w:pStyle w:val="ListBullet"/>
        <w:ind w:left="360" w:hanging="360"/>
      </w:pPr>
      <w:r>
        <w:rPr>
          <w:rFonts w:ascii="Calibri" w:hAnsi="Calibri"/>
          <w:b/>
          <w:color w:val="525866"/>
          <w:sz w:val="22"/>
        </w:rPr>
        <w:t xml:space="preserve">May 14, 2026 — AMAT FQ2 2026 Earnings — Semi Equipment Growth &gt;30%: </w:t>
      </w:r>
      <w:r>
        <w:rPr>
          <w:rFonts w:ascii="Calibri" w:hAnsi="Calibri"/>
          <w:color w:val="525866"/>
          <w:sz w:val="22"/>
        </w:rPr>
        <w:t xml:space="preserve">Applied Materials raised its semiconductor equipment growth outlook to &gt;30% for calendar 2026, citing customers finding new clean room space and increasing orders. Guided H2 2026 equipment revenue at ~$14.5–15B. </w:t>
      </w:r>
      <w:r>
        <w:rPr>
          <w:rFonts w:ascii="Calibri" w:hAnsi="Calibri"/>
          <w:b/>
          <w:color w:val="525866"/>
          <w:sz w:val="22"/>
        </w:rPr>
        <w:t>Implication: Consistent with LRCX’s WFE upgrade to $140B; validates the H2 2026 acceleration thesis.</w:t>
      </w:r>
    </w:p>
    <w:p>
      <w:pPr>
        <w:pStyle w:val="ListBullet"/>
        <w:ind w:left="360" w:hanging="360"/>
      </w:pPr>
      <w:r>
        <w:rPr>
          <w:rFonts w:ascii="Calibri" w:hAnsi="Calibri"/>
          <w:b/>
          <w:color w:val="525866"/>
          <w:sz w:val="22"/>
        </w:rPr>
        <w:t xml:space="preserve">April 22, 2026 — LRCX FQ3 2026 Earnings (Baseline): </w:t>
      </w:r>
      <w:r>
        <w:rPr>
          <w:rFonts w:ascii="Calibri" w:hAnsi="Calibri"/>
          <w:color w:val="525866"/>
          <w:sz w:val="22"/>
        </w:rPr>
        <w:t>Record revenue of $5.84B (+24% YoY), record EPS of $1.47 (above top of guidance range). June-quarter guidance of $6.60B revenue and $1.65 EPS well above Street expectations. WFE outlook raised to $140B with upside bias. CSBG delivered first-ever $2B+ quarter. Management committed to updating long-term financial model later in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