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yb-earnings-predictions--2026-07-31"/>
    <w:p>
      <w:pPr>
        <w:pStyle w:val="Heading1"/>
      </w:pPr>
      <w:r>
        <w:t xml:space="preserve">LYB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ex-items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1.35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1.15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EBITDA ex-items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1.25B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O&amp;P-Americas EBITDA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900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730M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PE price durability / H2 realization vs consultant fade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~flat-to-up PE (mgmt sees multi-qtr) vs. cons ~-$0.15-0.25/lb fade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I&amp;D operating rate / EBITDA recovery (Bayport restart)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~95-100% rates, EBITDA ~</w:t>
            </w:r>
            <m:oMath>
              <m:r>
                <m:t>375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300M (Q3'26)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return / dividend restoration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0.22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h</m:t>
              </m:r>
              <m:r>
                <m:t>e</m:t>
              </m:r>
              <m:r>
                <m:t>l</m:t>
              </m:r>
              <m:r>
                <m:t>d</m:t>
              </m:r>
              <m:r>
                <m:rPr>
                  <m:sty m:val="p"/>
                </m:rPr>
                <m:t>(</m:t>
              </m:r>
              <m:r>
                <m:t>n</m:t>
              </m:r>
              <m:r>
                <m:t>o</m:t>
              </m:r>
              <m:r>
                <m:t>r</m:t>
              </m:r>
              <m:r>
                <m:t>e</m:t>
              </m:r>
              <m:r>
                <m:t>s</m:t>
              </m:r>
              <m:r>
                <m:t>t</m:t>
              </m:r>
              <m:r>
                <m:t>o</m:t>
              </m:r>
              <m:r>
                <m:t>r</m:t>
              </m:r>
              <m:r>
                <m:t>e</m:t>
              </m:r>
              <m:r>
                <m:rPr>
                  <m:sty m:val="p"/>
                </m:rPr>
                <m:t>/</m:t>
              </m:r>
              <m:r>
                <m:t>b</m:t>
              </m:r>
              <m:r>
                <m:t>u</m:t>
              </m:r>
              <m:r>
                <m:t>y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h</m:t>
              </m:r>
              <m:r>
                <m:t>o</m:t>
              </m:r>
              <m:r>
                <m:t>p</m:t>
              </m:r>
              <m:r>
                <m:t>e</m:t>
              </m:r>
              <m:r>
                <m:t> </m:t>
              </m:r>
            </m:oMath>
            <w:r>
              <w:t xml:space="preserve">0.30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Free cash flow (intentional working-capital build)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FCF ~</w:t>
            </w:r>
            <m:oMath>
              <m:r>
                <m:t>0.2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W</m:t>
              </m:r>
              <m:r>
                <m:t>C</m:t>
              </m:r>
              <m:r>
                <m:t>b</m:t>
              </m:r>
              <m:r>
                <m:t>u</m:t>
              </m:r>
              <m:r>
                <m:t>i</m:t>
              </m:r>
              <m:r>
                <m:t>l</m:t>
              </m:r>
              <m:r>
                <m:t>d</m:t>
              </m:r>
              <m:r>
                <m:t>d</m:t>
              </m:r>
              <m:r>
                <m:t>r</m:t>
              </m:r>
              <m:r>
                <m:t>a</m:t>
              </m:r>
              <m:r>
                <m:t>g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0.6B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LYB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Q2 is a war-premium peak quarter; even on a clear EBITDA/EPS beat, the out-period math works against LYB. Sell-side (and CMA/consultants) model H2 PE/PP price erosion as the Strait of Hormuz normalizes, so a Q2 blowout drives modest day-1 upside but forward Q3/Q4/2027 estimates get trimmed as analysts fade the premium. Stock already round-tripped (</w:t>
            </w:r>
            <m:oMath>
              <m:r>
                <m:t>82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&gt;</m:t>
              </m:r>
            </m:oMath>
            <w:r>
              <w:t xml:space="preserve">53-&gt;$60, +7% into print), dividend stays cut and WC build caps FCF, so the initial pop gives back over 5 days as durability skepticism reasserts.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2026-07-31T01:53:59Z</dcterms:created>
  <dcterms:modified xsi:type="dcterms:W3CDTF">2026-07-31T01:53:59Z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