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LyondellBasell (LYB) before writing the preview. Let me gather recent earnings, filings, and news.This is a dynamic scenario — a Middle East conflict has reshaped petrochemical markets. Let me get the Q1 2026 release numbers, recent news, and stock price action.Let me get the Q1 2026 earnings release for the actual reported numbers and Q2 operating-rate guidance.# LyondellBasell (LYB) — Q2 2026 Earnings Preview</w:t>
      </w:r>
    </w:p>
    <w:bookmarkStart w:id="9" w:name="X081189faaaad5fc5f7039976b1c1e9a1a82e052"/>
    <w:p>
      <w:pPr>
        <w:pStyle w:val="Heading3"/>
      </w:pPr>
      <w:r>
        <w:t xml:space="preserve">Report expected before market open, Friday July 31, 2026</w:t>
      </w:r>
    </w:p>
    <w:p>
      <w:r>
        <w:pict>
          <v:rect style="width:0;height:1.5pt" o:hralign="center" o:hrstd="t" o:hr="t"/>
        </w:pict>
      </w:r>
    </w:p>
    <w:bookmarkEnd w:id="9"/>
    <w:bookmarkStart w:id="10" w:name="why-this-print-matters-more-than-usual"/>
    <w:p>
      <w:pPr>
        <w:pStyle w:val="Heading2"/>
      </w:pPr>
      <w:r>
        <w:t xml:space="preserve">Why this print matters more than usual</w:t>
      </w:r>
    </w:p>
    <w:p>
      <w:pPr>
        <w:pStyle w:val="FirstParagraph"/>
      </w:pPr>
      <w:r>
        <w:t xml:space="preserve">This is the quarter investors have been waiting for. A Middle East conflict (Iran / Strait of Hormuz disruptions) erupted around</w:t>
      </w:r>
      <w:r>
        <w:t xml:space="preserve"> </w:t>
      </w:r>
      <w:r>
        <w:rPr>
          <w:b/>
          <w:bCs/>
        </w:rPr>
        <w:t xml:space="preserve">early March 2026</w:t>
      </w:r>
      <w:r>
        <w:t xml:space="preserve"> </w:t>
      </w:r>
      <w:r>
        <w:t xml:space="preserve">and, in LYB's own framing, "transformed the global cost curve for petrochemicals." Q1 2026 (reported May 1) only captured the</w:t>
      </w:r>
      <w:r>
        <w:t xml:space="preserve"> </w:t>
      </w:r>
      <w:r>
        <w:rPr>
          <w:i/>
          <w:iCs/>
        </w:rPr>
        <w:t xml:space="preserve">tail end</w:t>
      </w:r>
      <w:r>
        <w:t xml:space="preserve"> </w:t>
      </w:r>
      <w:r>
        <w:t xml:space="preserve">of that shock — the March price spike.</w:t>
      </w:r>
      <w:r>
        <w:t xml:space="preserve"> </w:t>
      </w:r>
      <w:r>
        <w:rPr>
          <w:b/>
          <w:bCs/>
        </w:rPr>
        <w:t xml:space="preserve">Q2 2026 is the first full quarter that reflects the war-driven tightening</w:t>
      </w:r>
      <w:r>
        <w:t xml:space="preserve">, including the ~$0.50/lb of cumulative polyethylene price increases management said it was pushing through in April and May.</w:t>
      </w:r>
    </w:p>
    <w:p>
      <w:pPr>
        <w:pStyle w:val="BodyText"/>
      </w:pPr>
      <w:r>
        <w:t xml:space="preserve">In short: after roughly three years of a brutal petrochemical down-cycle, this report is the first real read on how much upside LYB's cost-advantaged US and European assets can capture in a suddenly supply-short world — and, just as importantly, whether the market believes it's durable.</w:t>
      </w:r>
    </w:p>
    <w:p>
      <w:r>
        <w:pict>
          <v:rect style="width:0;height:1.5pt" o:hralign="center" o:hrstd="t" o:hr="t"/>
        </w:pict>
      </w:r>
    </w:p>
    <w:bookmarkEnd w:id="10"/>
    <w:bookmarkStart w:id="11" w:name="where-the-stock-sits-going-in"/>
    <w:p>
      <w:pPr>
        <w:pStyle w:val="Heading2"/>
      </w:pPr>
      <w:r>
        <w:t xml:space="preserve">Where the stock sits going in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Date</w:t>
            </w:r>
          </w:p>
        </w:tc>
        <w:tc>
          <w:tcPr/>
          <w:p>
            <w:pPr>
              <w:pStyle w:val="Compact"/>
            </w:pPr>
            <w:r>
              <w:t xml:space="preserve">LYB</w:t>
            </w:r>
          </w:p>
        </w:tc>
        <w:tc>
          <w:tcPr/>
          <w:p>
            <w:pPr>
              <w:pStyle w:val="Compact"/>
            </w:pPr>
            <w:r>
              <w:t xml:space="preserve">Note</w:t>
            </w:r>
          </w:p>
        </w:tc>
      </w:tr>
      <w:tr>
        <w:tc>
          <w:tcPr/>
          <w:p>
            <w:pPr>
              <w:pStyle w:val="Compact"/>
            </w:pPr>
            <w:r>
              <w:t xml:space="preserve">Jan 2, 2026</w:t>
            </w:r>
          </w:p>
        </w:tc>
        <w:tc>
          <w:tcPr/>
          <w:p>
            <w:pPr>
              <w:pStyle w:val="Compact"/>
            </w:pPr>
            <w:r>
              <w:t xml:space="preserve">$44.39</w:t>
            </w:r>
          </w:p>
        </w:tc>
        <w:tc>
          <w:tcPr/>
          <w:p>
            <w:pPr>
              <w:pStyle w:val="Compact"/>
            </w:pPr>
            <w:r>
              <w:t xml:space="preserve">Trough / cycle low sentiment</w:t>
            </w:r>
          </w:p>
        </w:tc>
      </w:tr>
      <w:tr>
        <w:tc>
          <w:tcPr/>
          <w:p>
            <w:pPr>
              <w:pStyle w:val="Compact"/>
            </w:pPr>
            <w:r>
              <w:t xml:space="preserve">Mar 30, 2026</w:t>
            </w:r>
          </w:p>
        </w:tc>
        <w:tc>
          <w:tcPr/>
          <w:p>
            <w:pPr>
              <w:pStyle w:val="Compact"/>
            </w:pPr>
            <w:r>
              <w:t xml:space="preserve">$82.38</w:t>
            </w:r>
          </w:p>
        </w:tc>
        <w:tc>
          <w:tcPr/>
          <w:p>
            <w:pPr>
              <w:pStyle w:val="Compact"/>
            </w:pPr>
            <w:r>
              <w:t xml:space="preserve">Peak — full "war premium" euphoria</w:t>
            </w:r>
          </w:p>
        </w:tc>
      </w:tr>
      <w:tr>
        <w:tc>
          <w:tcPr/>
          <w:p>
            <w:pPr>
              <w:pStyle w:val="Compact"/>
            </w:pPr>
            <w:r>
              <w:t xml:space="preserve">Jun 29, 2026</w:t>
            </w:r>
          </w:p>
        </w:tc>
        <w:tc>
          <w:tcPr/>
          <w:p>
            <w:pPr>
              <w:pStyle w:val="Compact"/>
            </w:pPr>
            <w:r>
              <w:t xml:space="preserve">$53.62</w:t>
            </w:r>
          </w:p>
        </w:tc>
        <w:tc>
          <w:tcPr/>
          <w:p>
            <w:pPr>
              <w:pStyle w:val="Compact"/>
            </w:pPr>
            <w:r>
              <w:t xml:space="preserve">Gave back most of the rally</w:t>
            </w:r>
          </w:p>
        </w:tc>
      </w:tr>
      <w:tr>
        <w:tc>
          <w:tcPr/>
          <w:p>
            <w:pPr>
              <w:pStyle w:val="Compact"/>
            </w:pPr>
            <w:r>
              <w:t xml:space="preserve">Jul 30, 2026</w:t>
            </w:r>
          </w:p>
        </w:tc>
        <w:tc>
          <w:tcPr/>
          <w:p>
            <w:pPr>
              <w:pStyle w:val="Compact"/>
            </w:pPr>
            <w:r>
              <w:t xml:space="preserve">~$60.46</w:t>
            </w:r>
          </w:p>
        </w:tc>
        <w:tc>
          <w:tcPr/>
          <w:p>
            <w:pPr>
              <w:pStyle w:val="Compact"/>
            </w:pPr>
            <w:r>
              <w:t xml:space="preserve">Recovering into the print</w:t>
            </w:r>
          </w:p>
        </w:tc>
      </w:tr>
    </w:tbl>
    <w:p>
      <w:pPr>
        <w:pStyle w:val="BodyText"/>
      </w:pPr>
      <w:r>
        <w:t xml:space="preserve">The stock is up</w:t>
      </w:r>
      <w:r>
        <w:t xml:space="preserve"> </w:t>
      </w:r>
      <w:r>
        <w:rPr>
          <w:b/>
          <w:bCs/>
        </w:rPr>
        <w:t xml:space="preserve">~36% YTD</w:t>
      </w:r>
      <w:r>
        <w:t xml:space="preserve"> </w:t>
      </w:r>
      <w:r>
        <w:t xml:space="preserve">but sits</w:t>
      </w:r>
      <w:r>
        <w:t xml:space="preserve"> </w:t>
      </w:r>
      <w:r>
        <w:rPr>
          <w:b/>
          <w:bCs/>
        </w:rPr>
        <w:t xml:space="preserve">~27% below its late-March peak</w:t>
      </w:r>
      <w:r>
        <w:t xml:space="preserve">. That round-trip tells the whole story: the market front-ran a super-cycle in Q1, then de-rated on fears that (a) the conflict resolves and prices reverse, and (b) high prices trigger demand destruction. Peers Dow (DOW) and Westlake (WLK) traced similar arcs. So the setup is unusual —</w:t>
      </w:r>
      <w:r>
        <w:t xml:space="preserve"> </w:t>
      </w:r>
      <w:r>
        <w:rPr>
          <w:b/>
          <w:bCs/>
        </w:rPr>
        <w:t xml:space="preserve">numbers should be strong, but expectations have already partially reset lower</w:t>
      </w:r>
      <w:r>
        <w:t xml:space="preserve">, making guidance and management's tone on</w:t>
      </w:r>
      <w:r>
        <w:t xml:space="preserve"> </w:t>
      </w:r>
      <w:r>
        <w:rPr>
          <w:i/>
          <w:iCs/>
        </w:rPr>
        <w:t xml:space="preserve">durability</w:t>
      </w:r>
      <w:r>
        <w:t xml:space="preserve"> </w:t>
      </w:r>
      <w:r>
        <w:t xml:space="preserve">arguably more important than the headline beat/miss.</w:t>
      </w:r>
    </w:p>
    <w:p>
      <w:r>
        <w:pict>
          <v:rect style="width:0;height:1.5pt" o:hralign="center" o:hrstd="t" o:hr="t"/>
        </w:pict>
      </w:r>
    </w:p>
    <w:bookmarkEnd w:id="11"/>
    <w:bookmarkStart w:id="12" w:name="X29c79713724307863cfe7b47b0e0348c345e42a"/>
    <w:p>
      <w:pPr>
        <w:pStyle w:val="Heading2"/>
      </w:pPr>
      <w:r>
        <w:t xml:space="preserve">The numbers: expect a sharp sequential ramp</w:t>
      </w:r>
    </w:p>
    <w:p>
      <w:pPr>
        <w:pStyle w:val="FirstParagraph"/>
      </w:pPr>
      <w:r>
        <w:t xml:space="preserve">Recent trajectory of EBITDA excluding identified items:</w:t>
      </w:r>
    </w:p>
    <w:p>
      <w:pPr>
        <w:pStyle w:val="Compact"/>
        <w:numPr>
          <w:ilvl w:val="0"/>
          <w:numId w:val="1001"/>
        </w:numPr>
      </w:pPr>
      <w:r>
        <w:rPr>
          <w:b/>
          <w:bCs/>
        </w:rPr>
        <w:t xml:space="preserve">Q4 2025:</w:t>
      </w:r>
      <w:r>
        <w:t xml:space="preserve"> </w:t>
      </w:r>
      <w:r>
        <w:t xml:space="preserve">$417M (near cycle bottom)</w:t>
      </w:r>
    </w:p>
    <w:p>
      <w:pPr>
        <w:pStyle w:val="Compact"/>
        <w:numPr>
          <w:ilvl w:val="0"/>
          <w:numId w:val="1001"/>
        </w:numPr>
      </w:pPr>
      <w:r>
        <w:rPr>
          <w:b/>
          <w:bCs/>
        </w:rPr>
        <w:t xml:space="preserve">Q1 2026:</w:t>
      </w:r>
      <w:r>
        <w:t xml:space="preserve"> </w:t>
      </w:r>
      <w:r>
        <w:t xml:space="preserve">$615M, EPS $0.49 (EBITDA +~50% q/q, driven by the March inflection)</w:t>
      </w:r>
    </w:p>
    <w:p>
      <w:pPr>
        <w:pStyle w:val="Compact"/>
        <w:numPr>
          <w:ilvl w:val="0"/>
          <w:numId w:val="1001"/>
        </w:numPr>
      </w:pPr>
      <w:r>
        <w:rPr>
          <w:b/>
          <w:bCs/>
        </w:rPr>
        <w:t xml:space="preserve">Q2 2026:</w:t>
      </w:r>
      <w:r>
        <w:t xml:space="preserve"> </w:t>
      </w:r>
      <w:r>
        <w:t xml:space="preserve">Should step up meaningfully again given a full quarter of price increases and higher operating rates.</w:t>
      </w:r>
    </w:p>
    <w:p>
      <w:pPr>
        <w:pStyle w:val="FirstParagraph"/>
      </w:pPr>
      <w:r>
        <w:t xml:space="preserve">For reference on both the downside base and the bull-case ceiling:</w:t>
      </w:r>
    </w:p>
    <w:p>
      <w:pPr>
        <w:pStyle w:val="Compact"/>
        <w:numPr>
          <w:ilvl w:val="0"/>
          <w:numId w:val="1002"/>
        </w:numPr>
      </w:pPr>
      <w:r>
        <w:t xml:space="preserve">Q2</w:t>
      </w:r>
      <w:r>
        <w:t xml:space="preserve"> </w:t>
      </w:r>
      <w:r>
        <w:rPr>
          <w:b/>
          <w:bCs/>
        </w:rPr>
        <w:t xml:space="preserve">2025</w:t>
      </w:r>
      <w:r>
        <w:t xml:space="preserve"> </w:t>
      </w:r>
      <w:r>
        <w:t xml:space="preserve">(year-ago, pre-war): EBITDA ex-items</w:t>
      </w:r>
      <w:r>
        <w:t xml:space="preserve"> </w:t>
      </w:r>
      <m:oMath>
        <m:r>
          <m:t>715</m:t>
        </m:r>
        <m:r>
          <m:t>M</m:t>
        </m:r>
        <m:r>
          <m:rPr>
            <m:sty m:val="p"/>
          </m:rPr>
          <m:t>*</m:t>
        </m:r>
        <m:r>
          <m:rPr>
            <m:sty m:val="p"/>
          </m:rPr>
          <m:t>*</m:t>
        </m:r>
        <m:r>
          <m:rPr>
            <m:sty m:val="p"/>
          </m:rPr>
          <m:t>,</m:t>
        </m:r>
        <m:r>
          <m:t>E</m:t>
        </m:r>
        <m:r>
          <m:t>P</m:t>
        </m:r>
        <m:r>
          <m:t>S</m:t>
        </m:r>
        <m:r>
          <m:t>e</m:t>
        </m:r>
        <m:r>
          <m:t>x</m:t>
        </m:r>
        <m:r>
          <m:rPr>
            <m:sty m:val="p"/>
          </m:rPr>
          <m:t>−</m:t>
        </m:r>
        <m:r>
          <m:t>i</m:t>
        </m:r>
        <m:r>
          <m:t>t</m:t>
        </m:r>
        <m:r>
          <m:t>e</m:t>
        </m:r>
        <m:r>
          <m:t>m</m:t>
        </m:r>
        <m:r>
          <m:t>s</m:t>
        </m:r>
        <m:r>
          <m:rPr>
            <m:sty m:val="p"/>
          </m:rPr>
          <m:t>*</m:t>
        </m:r>
        <m:r>
          <m:rPr>
            <m:sty m:val="p"/>
          </m:rPr>
          <m:t>*</m:t>
        </m:r>
      </m:oMath>
      <w:r>
        <w:rPr>
          <w:b/>
          <w:bCs/>
        </w:rPr>
        <w:t xml:space="preserve">0.62</w:t>
      </w:r>
    </w:p>
    <w:p>
      <w:pPr>
        <w:pStyle w:val="Compact"/>
        <w:numPr>
          <w:ilvl w:val="0"/>
          <w:numId w:val="1002"/>
        </w:numPr>
      </w:pPr>
      <w:r>
        <w:t xml:space="preserve">Q2</w:t>
      </w:r>
      <w:r>
        <w:t xml:space="preserve"> </w:t>
      </w:r>
      <w:r>
        <w:rPr>
          <w:b/>
          <w:bCs/>
        </w:rPr>
        <w:t xml:space="preserve">2024</w:t>
      </w:r>
      <w:r>
        <w:t xml:space="preserve">: EBITDA</w:t>
      </w:r>
      <w:r>
        <w:t xml:space="preserve"> </w:t>
      </w:r>
      <w:r>
        <w:rPr>
          <w:b/>
          <w:bCs/>
        </w:rPr>
        <w:t xml:space="preserve">$1.33B</w:t>
      </w:r>
      <w:r>
        <w:t xml:space="preserve"> </w:t>
      </w:r>
      <w:r>
        <w:t xml:space="preserve">— a reminder of what a healthier environment looks like</w:t>
      </w:r>
    </w:p>
    <w:p>
      <w:pPr>
        <w:pStyle w:val="Compact"/>
        <w:numPr>
          <w:ilvl w:val="0"/>
          <w:numId w:val="1002"/>
        </w:numPr>
      </w:pPr>
      <w:r>
        <w:t xml:space="preserve">The 2021 super-cycle peak: O&amp;P-Americas alone earned **</w:t>
      </w:r>
      <m:oMath>
        <m:r>
          <m:t>1.5</m:t>
        </m:r>
        <m:r>
          <m:rPr>
            <m:sty m:val="p"/>
          </m:rPr>
          <m:t>–</m:t>
        </m:r>
        <m:r>
          <m:t>1.6</m:t>
        </m:r>
        <m:r>
          <m:t>B</m:t>
        </m:r>
        <m:r>
          <m:t>o</m:t>
        </m:r>
        <m:r>
          <m:t>f</m:t>
        </m:r>
        <m:r>
          <m:t>E</m:t>
        </m:r>
        <m:r>
          <m:t>B</m:t>
        </m:r>
        <m:r>
          <m:t>I</m:t>
        </m:r>
        <m:r>
          <m:t>T</m:t>
        </m:r>
        <m:r>
          <m:t>D</m:t>
        </m:r>
        <m:r>
          <m:t>A</m:t>
        </m:r>
        <m:r>
          <m:t>p</m:t>
        </m:r>
        <m:r>
          <m:t>e</m:t>
        </m:r>
        <m:r>
          <m:t>r</m:t>
        </m:r>
        <m:r>
          <m:t>q</m:t>
        </m:r>
        <m:r>
          <m:t>u</m:t>
        </m:r>
        <m:r>
          <m:t>a</m:t>
        </m:r>
        <m:r>
          <m:t>r</m:t>
        </m:r>
        <m:r>
          <m:t>t</m:t>
        </m:r>
        <m:r>
          <m:t>e</m:t>
        </m:r>
        <m:r>
          <m:t>r</m:t>
        </m:r>
        <m:r>
          <m:rPr>
            <m:sty m:val="p"/>
          </m:rPr>
          <m:t>*</m:t>
        </m:r>
        <m:r>
          <m:rPr>
            <m:sty m:val="p"/>
          </m:rPr>
          <m:t>*</m:t>
        </m:r>
        <m:r>
          <m:rPr>
            <m:sty m:val="p"/>
          </m:rPr>
          <m:t>.</m:t>
        </m:r>
        <m:r>
          <m:t>M</m:t>
        </m:r>
        <m:r>
          <m:t>a</m:t>
        </m:r>
        <m:r>
          <m:t>n</m:t>
        </m:r>
        <m:r>
          <m:t>a</m:t>
        </m:r>
        <m:r>
          <m:t>g</m:t>
        </m:r>
        <m:r>
          <m:t>e</m:t>
        </m:r>
        <m:r>
          <m:t>m</m:t>
        </m:r>
        <m:r>
          <m:t>e</m:t>
        </m:r>
        <m:r>
          <m:t>n</m:t>
        </m:r>
        <m:r>
          <m:t>t</m:t>
        </m:r>
        <m:r>
          <m:t>w</m:t>
        </m:r>
        <m:r>
          <m:t>a</m:t>
        </m:r>
        <m:r>
          <m:t>s</m:t>
        </m:r>
        <m:r>
          <m:t>e</m:t>
        </m:r>
        <m:r>
          <m:t>x</m:t>
        </m:r>
        <m:r>
          <m:t>p</m:t>
        </m:r>
        <m:r>
          <m:t>l</m:t>
        </m:r>
        <m:r>
          <m:t>i</m:t>
        </m:r>
        <m:r>
          <m:t>c</m:t>
        </m:r>
        <m:r>
          <m:t>i</m:t>
        </m:r>
        <m:r>
          <m:t>t</m:t>
        </m:r>
        <m:r>
          <m:t>l</m:t>
        </m:r>
        <m:r>
          <m:t>y</m:t>
        </m:r>
        <m:r>
          <m:t>a</m:t>
        </m:r>
        <m:r>
          <m:t>s</m:t>
        </m:r>
        <m:r>
          <m:t>k</m:t>
        </m:r>
        <m:r>
          <m:t>e</m:t>
        </m:r>
        <m:r>
          <m:t>d</m:t>
        </m:r>
        <m:r>
          <m:t>w</m:t>
        </m:r>
        <m:r>
          <m:t>h</m:t>
        </m:r>
        <m:r>
          <m:t>e</m:t>
        </m:r>
        <m:r>
          <m:t>t</m:t>
        </m:r>
        <m:r>
          <m:t>h</m:t>
        </m:r>
        <m:r>
          <m:t>e</m:t>
        </m:r>
        <m:r>
          <m:t>r</m:t>
        </m:r>
        <m:r>
          <m:t>t</m:t>
        </m:r>
        <m:r>
          <m:t>h</m:t>
        </m:r>
        <m:r>
          <m:t>a</m:t>
        </m:r>
        <m:sSup>
          <m:e>
            <m:r>
              <m:t>t</m:t>
            </m:r>
          </m:e>
          <m:sup>
            <m:r>
              <m:rPr>
                <m:sty m:val="p"/>
              </m:rPr>
              <m:t>′</m:t>
            </m:r>
          </m:sup>
        </m:sSup>
        <m:r>
          <m:t>s</m:t>
        </m:r>
        <m:r>
          <m:t>r</m:t>
        </m:r>
        <m:r>
          <m:t>e</m:t>
        </m:r>
        <m:r>
          <m:t>p</m:t>
        </m:r>
        <m:r>
          <m:t>e</m:t>
        </m:r>
        <m:r>
          <m:t>a</m:t>
        </m:r>
        <m:r>
          <m:t>t</m:t>
        </m:r>
        <m:r>
          <m:t>a</m:t>
        </m:r>
        <m:r>
          <m:t>b</m:t>
        </m:r>
        <m:r>
          <m:t>l</m:t>
        </m:r>
        <m:r>
          <m:t>e</m:t>
        </m:r>
        <m:r>
          <m:t>a</m:t>
        </m:r>
        <m:r>
          <m:t>n</m:t>
        </m:r>
        <m:r>
          <m:t>d</m:t>
        </m:r>
        <m:r>
          <m:t>d</m:t>
        </m:r>
        <m:r>
          <m:t>i</m:t>
        </m:r>
        <m:r>
          <m:t>d</m:t>
        </m:r>
        <m:r>
          <m:t>n</m:t>
        </m:r>
        <m:r>
          <m:t>o</m:t>
        </m:r>
        <m:r>
          <m:t>t</m:t>
        </m:r>
        <m:r>
          <m:t>r</m:t>
        </m:r>
        <m:r>
          <m:t>u</m:t>
        </m:r>
        <m:r>
          <m:t>l</m:t>
        </m:r>
        <m:r>
          <m:t>e</m:t>
        </m:r>
        <m:r>
          <m:t>i</m:t>
        </m:r>
        <m:r>
          <m:t>t</m:t>
        </m:r>
        <m:r>
          <m:t>o</m:t>
        </m:r>
        <m:r>
          <m:t>u</m:t>
        </m:r>
        <m:r>
          <m:t>t</m:t>
        </m:r>
        <m:r>
          <m:rPr>
            <m:sty m:val="p"/>
          </m:rPr>
          <m:t>,</m:t>
        </m:r>
        <m:r>
          <m:t>n</m:t>
        </m:r>
        <m:r>
          <m:t>o</m:t>
        </m:r>
        <m:r>
          <m:t>t</m:t>
        </m:r>
        <m:r>
          <m:t>i</m:t>
        </m:r>
        <m:r>
          <m:t>n</m:t>
        </m:r>
        <m:r>
          <m:t>g</m:t>
        </m:r>
        <m:r>
          <m:t>P</m:t>
        </m:r>
        <m:r>
          <m:t>E</m:t>
        </m:r>
        <m:r>
          <m:t>p</m:t>
        </m:r>
        <m:r>
          <m:t>r</m:t>
        </m:r>
        <m:r>
          <m:t>i</m:t>
        </m:r>
        <m:r>
          <m:t>c</m:t>
        </m:r>
        <m:r>
          <m:t>e</m:t>
        </m:r>
        <m:r>
          <m:t>s</m:t>
        </m:r>
        <m:r>
          <m:t>w</m:t>
        </m:r>
        <m:r>
          <m:t>e</m:t>
        </m:r>
        <m:r>
          <m:t>r</m:t>
        </m:r>
        <m:r>
          <m:t>e</m:t>
        </m:r>
        <m:r>
          <m:t>o</m:t>
        </m:r>
        <m:r>
          <m:t>n</m:t>
        </m:r>
        <m:r>
          <m:t>l</m:t>
        </m:r>
        <m:r>
          <m:t>y</m:t>
        </m:r>
        <m:r>
          <m:t> </m:t>
        </m:r>
      </m:oMath>
      <w:r>
        <w:t xml:space="preserve">0.10–0.15/lb below 2021 levels before the latest increases.</w:t>
      </w:r>
    </w:p>
    <w:p>
      <w:pPr>
        <w:pStyle w:val="FirstParagraph"/>
      </w:pPr>
      <w:r>
        <w:rPr>
          <w:b/>
          <w:bCs/>
        </w:rPr>
        <w:t xml:space="preserve">What to watch by segment (vs. Q1 2026 and management's Q2 guide):</w:t>
      </w:r>
    </w:p>
    <w:p>
      <w:pPr>
        <w:pStyle w:val="Compact"/>
        <w:numPr>
          <w:ilvl w:val="0"/>
          <w:numId w:val="1003"/>
        </w:numPr>
      </w:pPr>
      <w:r>
        <w:rPr>
          <w:b/>
          <w:bCs/>
        </w:rPr>
        <w:t xml:space="preserve">O&amp;P Americas</w:t>
      </w:r>
      <w:r>
        <w:t xml:space="preserve"> </w:t>
      </w:r>
      <w:r>
        <w:t xml:space="preserve">(</w:t>
      </w:r>
      <m:oMath>
        <m:r>
          <m:t>327</m:t>
        </m:r>
        <m:r>
          <m:t>M</m:t>
        </m:r>
        <m:r>
          <m:t>i</m:t>
        </m:r>
        <m:r>
          <m:t>n</m:t>
        </m:r>
        <m:r>
          <m:t>Q</m:t>
        </m:r>
        <m:r>
          <m:t>1</m:t>
        </m:r>
        <m:r>
          <m:rPr>
            <m:sty m:val="p"/>
          </m:rPr>
          <m:t>)</m:t>
        </m:r>
        <m:r>
          <m:rPr>
            <m:sty m:val="p"/>
          </m:rPr>
          <m:t>:</m:t>
        </m:r>
        <m:r>
          <m:t>T</m:t>
        </m:r>
        <m:r>
          <m:t>h</m:t>
        </m:r>
        <m:r>
          <m:t>e</m:t>
        </m:r>
        <m:r>
          <m:t>s</m:t>
        </m:r>
        <m:r>
          <m:t>i</m:t>
        </m:r>
        <m:r>
          <m:t>n</m:t>
        </m:r>
        <m:r>
          <m:t>g</m:t>
        </m:r>
        <m:r>
          <m:t>l</m:t>
        </m:r>
        <m:r>
          <m:t>e</m:t>
        </m:r>
        <m:r>
          <m:t>b</m:t>
        </m:r>
        <m:r>
          <m:t>i</m:t>
        </m:r>
        <m:r>
          <m:t>g</m:t>
        </m:r>
        <m:r>
          <m:t>g</m:t>
        </m:r>
        <m:r>
          <m:t>e</m:t>
        </m:r>
        <m:r>
          <m:t>s</m:t>
        </m:r>
        <m:r>
          <m:t>t</m:t>
        </m:r>
        <m:r>
          <m:t>s</m:t>
        </m:r>
        <m:r>
          <m:t>w</m:t>
        </m:r>
        <m:r>
          <m:t>i</m:t>
        </m:r>
        <m:r>
          <m:t>n</m:t>
        </m:r>
        <m:r>
          <m:t>g</m:t>
        </m:r>
        <m:r>
          <m:t>f</m:t>
        </m:r>
        <m:r>
          <m:t>a</m:t>
        </m:r>
        <m:r>
          <m:t>c</m:t>
        </m:r>
        <m:r>
          <m:t>t</m:t>
        </m:r>
        <m:r>
          <m:t>o</m:t>
        </m:r>
        <m:r>
          <m:t>r</m:t>
        </m:r>
        <m:r>
          <m:rPr>
            <m:sty m:val="p"/>
          </m:rPr>
          <m:t>.</m:t>
        </m:r>
        <m:r>
          <m:t>M</m:t>
        </m:r>
        <m:r>
          <m:t>a</m:t>
        </m:r>
        <m:r>
          <m:t>n</m:t>
        </m:r>
        <m:r>
          <m:t>a</m:t>
        </m:r>
        <m:r>
          <m:t>g</m:t>
        </m:r>
        <m:r>
          <m:t>e</m:t>
        </m:r>
        <m:r>
          <m:t>m</m:t>
        </m:r>
        <m:r>
          <m:t>e</m:t>
        </m:r>
        <m:r>
          <m:t>n</m:t>
        </m:r>
        <m:r>
          <m:t>t</m:t>
        </m:r>
        <m:r>
          <m:t>g</m:t>
        </m:r>
        <m:r>
          <m:t>u</m:t>
        </m:r>
        <m:r>
          <m:t>i</m:t>
        </m:r>
        <m:r>
          <m:t>d</m:t>
        </m:r>
        <m:r>
          <m:t>e</m:t>
        </m:r>
        <m:r>
          <m:t>d</m:t>
        </m:r>
        <m:r>
          <m:t>t</m:t>
        </m:r>
        <m:r>
          <m:t>o</m:t>
        </m:r>
        <m:r>
          <m:rPr>
            <m:sty m:val="p"/>
          </m:rPr>
          <m:t>*</m:t>
        </m:r>
        <m:r>
          <m:rPr>
            <m:sty m:val="p"/>
          </m:rPr>
          <m:t>*</m:t>
        </m:r>
        <m:r>
          <m:t> </m:t>
        </m:r>
        <m:r>
          <m:t>90</m:t>
        </m:r>
      </m:oMath>
      <w:r>
        <w:t xml:space="preserve">0.50/lb PE** price hikes plus</w:t>
      </w:r>
      <w:r>
        <w:t xml:space="preserve"> </w:t>
      </w:r>
      <w:r>
        <w:rPr>
          <w:b/>
          <w:bCs/>
        </w:rPr>
        <w:t xml:space="preserve">$0.10/lb/month PP spread</w:t>
      </w:r>
      <w:r>
        <w:t xml:space="preserve"> </w:t>
      </w:r>
      <w:r>
        <w:t xml:space="preserve">gains. This is where a blowout would come from. Watch how much of the announced increases actually settled.</w:t>
      </w:r>
    </w:p>
    <w:p>
      <w:pPr>
        <w:pStyle w:val="Compact"/>
        <w:numPr>
          <w:ilvl w:val="0"/>
          <w:numId w:val="1003"/>
        </w:numPr>
      </w:pPr>
      <w:r>
        <w:rPr>
          <w:b/>
          <w:bCs/>
        </w:rPr>
        <w:t xml:space="preserve">O&amp;P EAI (Europe/Asia)</w:t>
      </w:r>
      <w:r>
        <w:t xml:space="preserve"> </w:t>
      </w:r>
      <w:r>
        <w:t xml:space="preserve">(–$6M in Q1): Guided to</w:t>
      </w:r>
      <w:r>
        <w:t xml:space="preserve"> </w:t>
      </w:r>
      <w:r>
        <w:rPr>
          <w:b/>
          <w:bCs/>
        </w:rPr>
        <w:t xml:space="preserve">~80% operating rates</w:t>
      </w:r>
      <w:r>
        <w:t xml:space="preserve"> </w:t>
      </w:r>
      <w:r>
        <w:t xml:space="preserve">and improving margins as Middle East/China imports recede. Crucially, the</w:t>
      </w:r>
      <w:r>
        <w:t xml:space="preserve"> </w:t>
      </w:r>
      <w:r>
        <w:rPr>
          <w:b/>
          <w:bCs/>
        </w:rPr>
        <w:t xml:space="preserve">sale of four European assets closed early in Q2</w:t>
      </w:r>
      <w:r>
        <w:t xml:space="preserve"> </w:t>
      </w:r>
      <w:r>
        <w:t xml:space="preserve">— removing a small/negative-EBITDA business and ~€400M/yr of fixed costs and ~€110M/yr of capex. Expect a cleaner, structurally higher-margin European footprint (plus a potential €100M earn-out).</w:t>
      </w:r>
    </w:p>
    <w:p>
      <w:pPr>
        <w:pStyle w:val="Compact"/>
        <w:numPr>
          <w:ilvl w:val="0"/>
          <w:numId w:val="1003"/>
        </w:numPr>
      </w:pPr>
      <w:r>
        <w:rPr>
          <w:b/>
          <w:bCs/>
        </w:rPr>
        <w:t xml:space="preserve">I&amp;D</w:t>
      </w:r>
      <w:r>
        <w:t xml:space="preserve"> </w:t>
      </w:r>
      <w:r>
        <w:t xml:space="preserve">(</w:t>
      </w:r>
      <m:oMath>
        <m:r>
          <m:t>224</m:t>
        </m:r>
        <m:r>
          <m:t>M</m:t>
        </m:r>
        <m:r>
          <m:t>i</m:t>
        </m:r>
        <m:r>
          <m:t>n</m:t>
        </m:r>
        <m:r>
          <m:t>Q</m:t>
        </m:r>
        <m:r>
          <m:t>1</m:t>
        </m:r>
        <m:r>
          <m:rPr>
            <m:sty m:val="p"/>
          </m:rPr>
          <m:t>)</m:t>
        </m:r>
        <m:r>
          <m:rPr>
            <m:sty m:val="p"/>
          </m:rPr>
          <m:t>:</m:t>
        </m:r>
        <m:r>
          <m:t>G</m:t>
        </m:r>
        <m:r>
          <m:t>u</m:t>
        </m:r>
        <m:r>
          <m:t>i</m:t>
        </m:r>
        <m:r>
          <m:t>d</m:t>
        </m:r>
        <m:r>
          <m:t>e</m:t>
        </m:r>
        <m:r>
          <m:t>d</m:t>
        </m:r>
        <m:r>
          <m:rPr>
            <m:sty m:val="p"/>
          </m:rPr>
          <m:t>*</m:t>
        </m:r>
        <m:r>
          <m:t>d</m:t>
        </m:r>
        <m:r>
          <m:t>o</m:t>
        </m:r>
        <m:r>
          <m:t>w</m:t>
        </m:r>
        <m:r>
          <m:t>n</m:t>
        </m:r>
        <m:r>
          <m:rPr>
            <m:sty m:val="p"/>
          </m:rPr>
          <m:t>*</m:t>
        </m:r>
        <m:r>
          <m:t>t</m:t>
        </m:r>
        <m:r>
          <m:t>o</m:t>
        </m:r>
        <m:r>
          <m:rPr>
            <m:sty m:val="p"/>
          </m:rPr>
          <m:t>*</m:t>
        </m:r>
        <m:r>
          <m:rPr>
            <m:sty m:val="p"/>
          </m:rPr>
          <m:t>*</m:t>
        </m:r>
        <m:r>
          <m:t> </m:t>
        </m:r>
        <m:r>
          <m:t>75</m:t>
        </m:r>
      </m:oMath>
      <w:r>
        <w:t xml:space="preserve">25M/week hit) runs until end of Q2. Offsets: oxyfuels margin recovery and methanol pricing that doubled (~</w:t>
      </w:r>
      <m:oMath>
        <m:r>
          <m:t>300</m:t>
        </m:r>
        <m:r>
          <m:rPr>
            <m:sty m:val="p"/>
          </m:rPr>
          <m:t>→</m:t>
        </m:r>
      </m:oMath>
      <w:r>
        <w:t xml:space="preserve">600/ton). This segment may look soft this quarter but sets up for a strong Q3 once Bayport restarts (management targets 95–100% rates thereafter).</w:t>
      </w:r>
    </w:p>
    <w:p>
      <w:pPr>
        <w:pStyle w:val="Compact"/>
        <w:numPr>
          <w:ilvl w:val="0"/>
          <w:numId w:val="1003"/>
        </w:numPr>
      </w:pPr>
      <w:r>
        <w:rPr>
          <w:b/>
          <w:bCs/>
        </w:rPr>
        <w:t xml:space="preserve">APS</w:t>
      </w:r>
      <w:r>
        <w:t xml:space="preserve"> </w:t>
      </w:r>
      <w:r>
        <w:t xml:space="preserve">($58M in Q1): Volumes surprisingly strong, but</w:t>
      </w:r>
      <w:r>
        <w:t xml:space="preserve"> </w:t>
      </w:r>
      <w:r>
        <w:rPr>
          <w:b/>
          <w:bCs/>
        </w:rPr>
        <w:t xml:space="preserve">margins pressured by contractual pricing lags</w:t>
      </w:r>
      <w:r>
        <w:t xml:space="preserve"> </w:t>
      </w:r>
      <w:r>
        <w:t xml:space="preserve">as raw-material costs rose — the near-term drag here is timing, not demand.</w:t>
      </w:r>
    </w:p>
    <w:p>
      <w:pPr>
        <w:pStyle w:val="Compact"/>
        <w:numPr>
          <w:ilvl w:val="0"/>
          <w:numId w:val="1003"/>
        </w:numPr>
      </w:pPr>
      <w:r>
        <w:rPr>
          <w:b/>
          <w:bCs/>
        </w:rPr>
        <w:t xml:space="preserve">Technology</w:t>
      </w:r>
      <w:r>
        <w:t xml:space="preserve"> </w:t>
      </w:r>
      <w:r>
        <w:t xml:space="preserve">($18M in Q1): Guided "only slightly lower than Q4 2025." Licensing demand is at a ~15-year low as Chinese capacity additions stall — a longer-term structural watch item, not a Q2 mover.</w:t>
      </w:r>
    </w:p>
    <w:p>
      <w:r>
        <w:pict>
          <v:rect style="width:0;height:1.5pt" o:hralign="center" o:hrstd="t" o:hr="t"/>
        </w:pict>
      </w:r>
    </w:p>
    <w:bookmarkEnd w:id="12"/>
    <w:bookmarkStart w:id="13" w:name="X7bca128018946b685016dbad796787bdc99b6fb"/>
    <w:p>
      <w:pPr>
        <w:pStyle w:val="Heading2"/>
      </w:pPr>
      <w:r>
        <w:t xml:space="preserve">The central debate: is the "war premium" durable?</w:t>
      </w:r>
    </w:p>
    <w:p>
      <w:pPr>
        <w:pStyle w:val="FirstParagraph"/>
      </w:pPr>
      <w:r>
        <w:t xml:space="preserve">This is the question that will dominate the call. Management's stance (which differs from third-party consultants who model a sharp H2 fade in PE prices):</w:t>
      </w:r>
    </w:p>
    <w:p>
      <w:pPr>
        <w:pStyle w:val="Compact"/>
        <w:numPr>
          <w:ilvl w:val="0"/>
          <w:numId w:val="1004"/>
        </w:numPr>
      </w:pPr>
      <w:r>
        <w:t xml:space="preserve">LYB argues the disruption is measured in</w:t>
      </w:r>
      <w:r>
        <w:t xml:space="preserve"> </w:t>
      </w:r>
      <w:r>
        <w:rPr>
          <w:b/>
          <w:bCs/>
        </w:rPr>
        <w:t xml:space="preserve">"multiple quarters, not months"</w:t>
      </w:r>
      <w:r>
        <w:t xml:space="preserve"> </w:t>
      </w:r>
      <w:r>
        <w:t xml:space="preserve">— physical asset damage, rerouted logistics (~9–12 months to normalize), and a</w:t>
      </w:r>
      <w:r>
        <w:t xml:space="preserve"> </w:t>
      </w:r>
      <w:r>
        <w:rPr>
          <w:b/>
          <w:bCs/>
        </w:rPr>
        <w:t xml:space="preserve">structurally steeper cost curve</w:t>
      </w:r>
      <w:r>
        <w:t xml:space="preserve"> </w:t>
      </w:r>
      <w:r>
        <w:t xml:space="preserve">that persists even after a ceasefire, because a geopolitical risk premium and the loss of sanctioned-crude discounts don't reverse quickly.</w:t>
      </w:r>
    </w:p>
    <w:p>
      <w:pPr>
        <w:pStyle w:val="Compact"/>
        <w:numPr>
          <w:ilvl w:val="0"/>
          <w:numId w:val="1004"/>
        </w:numPr>
      </w:pPr>
      <w:r>
        <w:t xml:space="preserve">The bull case on</w:t>
      </w:r>
      <w:r>
        <w:t xml:space="preserve"> </w:t>
      </w:r>
      <w:r>
        <w:rPr>
          <w:b/>
          <w:bCs/>
        </w:rPr>
        <w:t xml:space="preserve">polypropylene</w:t>
      </w:r>
      <w:r>
        <w:t xml:space="preserve"> </w:t>
      </w:r>
      <w:r>
        <w:t xml:space="preserve">("the sleeping giant"): ~70% of global PP supply is impacted directly/indirectly via the Strait of Hormuz and idled Asian PDH units; PP prices are still ~$0.60/lb below 2021, implying more runway than PE.</w:t>
      </w:r>
    </w:p>
    <w:p>
      <w:pPr>
        <w:pStyle w:val="Compact"/>
        <w:numPr>
          <w:ilvl w:val="0"/>
          <w:numId w:val="1004"/>
        </w:numPr>
      </w:pPr>
      <w:r>
        <w:t xml:space="preserve">The bear case management concedes:</w:t>
      </w:r>
      <w:r>
        <w:t xml:space="preserve"> </w:t>
      </w:r>
      <w:r>
        <w:rPr>
          <w:b/>
          <w:bCs/>
        </w:rPr>
        <w:t xml:space="preserve">demand destruction</w:t>
      </w:r>
      <w:r>
        <w:t xml:space="preserve"> </w:t>
      </w:r>
      <w:r>
        <w:t xml:space="preserve">if oil/prices stay elevated. Their rebuttal — the bulk of PE goes into non-discretionary packaging/consumables, which held up even in 2008–09 and 2021.</w:t>
      </w:r>
    </w:p>
    <w:p>
      <w:pPr>
        <w:pStyle w:val="FirstParagraph"/>
      </w:pPr>
      <w:r>
        <w:rPr>
          <w:b/>
          <w:bCs/>
        </w:rPr>
        <w:t xml:space="preserve">Listen for:</w:t>
      </w:r>
      <w:r>
        <w:t xml:space="preserve"> </w:t>
      </w:r>
      <w:r>
        <w:t xml:space="preserve">any July/current-quarter pricing data points (are increases sticking or rolling over?), commentary on the conflict's status, and whether Chinese/Asian operating rates are staying depressed. This is what moves the stock, not the Q2 headline.</w:t>
      </w:r>
    </w:p>
    <w:p>
      <w:r>
        <w:pict>
          <v:rect style="width:0;height:1.5pt" o:hralign="center" o:hrstd="t" o:hr="t"/>
        </w:pict>
      </w:r>
    </w:p>
    <w:bookmarkEnd w:id="13"/>
    <w:bookmarkStart w:id="14" w:name="X8327c5863cfd1c56fded371bb00356b13025b20"/>
    <w:p>
      <w:pPr>
        <w:pStyle w:val="Heading2"/>
      </w:pPr>
      <w:r>
        <w:t xml:space="preserve">Balance sheet &amp; capital allocation — watch the dividend and the buyback question</w:t>
      </w:r>
    </w:p>
    <w:p>
      <w:pPr>
        <w:pStyle w:val="FirstParagraph"/>
      </w:pPr>
      <w:r>
        <w:t xml:space="preserve">Capital discipline has been the other big theme, and it's a source of tension:</w:t>
      </w:r>
    </w:p>
    <w:p>
      <w:pPr>
        <w:pStyle w:val="Compact"/>
        <w:numPr>
          <w:ilvl w:val="0"/>
          <w:numId w:val="1005"/>
        </w:numPr>
      </w:pPr>
      <w:r>
        <w:t xml:space="preserve">The Board</w:t>
      </w:r>
      <w:r>
        <w:t xml:space="preserve"> </w:t>
      </w:r>
      <w:r>
        <w:rPr>
          <w:b/>
          <w:bCs/>
        </w:rPr>
        <w:t xml:space="preserve">cut the quarterly dividend ~50% in Q1 2026</w:t>
      </w:r>
      <w:r>
        <w:t xml:space="preserve"> </w:t>
      </w:r>
      <w:r>
        <w:t xml:space="preserve">to defend the investment-grade rating (Q1 dividends paid ~$224M vs. $445M in Q2 2025). The new payout implies roughly a ~4–5% yield at current prices.</w:t>
      </w:r>
    </w:p>
    <w:p>
      <w:pPr>
        <w:pStyle w:val="Compact"/>
        <w:numPr>
          <w:ilvl w:val="0"/>
          <w:numId w:val="1005"/>
        </w:numPr>
      </w:pPr>
      <w:r>
        <w:rPr>
          <w:b/>
          <w:bCs/>
        </w:rPr>
        <w:t xml:space="preserve">Cash Improvement Plan:</w:t>
      </w:r>
      <w:r>
        <w:t xml:space="preserve"> </w:t>
      </w:r>
      <w:r>
        <w:t xml:space="preserve">targeting **</w:t>
      </w:r>
      <m:oMath>
        <m:r>
          <m:t>500</m:t>
        </m:r>
        <m:r>
          <m:t>M</m:t>
        </m:r>
        <m:r>
          <m:t>i</m:t>
        </m:r>
        <m:r>
          <m:t>n</m:t>
        </m:r>
        <m:r>
          <m:t>c</m:t>
        </m:r>
        <m:r>
          <m:t>r</m:t>
        </m:r>
        <m:r>
          <m:t>e</m:t>
        </m:r>
        <m:r>
          <m:t>m</m:t>
        </m:r>
        <m:r>
          <m:t>e</m:t>
        </m:r>
        <m:r>
          <m:t>n</m:t>
        </m:r>
        <m:r>
          <m:t>t</m:t>
        </m:r>
        <m:r>
          <m:t>a</m:t>
        </m:r>
        <m:r>
          <m:t>l</m:t>
        </m:r>
        <m:r>
          <m:t>i</m:t>
        </m:r>
        <m:r>
          <m:t>n</m:t>
        </m:r>
        <m:r>
          <m:t>2026</m:t>
        </m:r>
        <m:r>
          <m:rPr>
            <m:sty m:val="p"/>
          </m:rPr>
          <m:t>*</m:t>
        </m:r>
        <m:r>
          <m:rPr>
            <m:sty m:val="p"/>
          </m:rPr>
          <m:t>*</m:t>
        </m:r>
        <m:r>
          <m:rPr>
            <m:sty m:val="p"/>
          </m:rPr>
          <m:t>(</m:t>
        </m:r>
        <m:r>
          <m:t> </m:t>
        </m:r>
      </m:oMath>
      <w:r>
        <w:t xml:space="preserve">1.3B cumulative since 2025); trade working capital was down ~$450M y/y in Q1.</w:t>
      </w:r>
    </w:p>
    <w:p>
      <w:pPr>
        <w:pStyle w:val="Compact"/>
        <w:numPr>
          <w:ilvl w:val="0"/>
          <w:numId w:val="1005"/>
        </w:numPr>
      </w:pPr>
      <w:r>
        <w:rPr>
          <w:b/>
          <w:bCs/>
        </w:rPr>
        <w:t xml:space="preserve">Liquidity:</w:t>
      </w:r>
      <w:r>
        <w:t xml:space="preserve"> </w:t>
      </w:r>
      <w:r>
        <w:t xml:space="preserve">$2.6B cash / $7.3B available at end of Q1; 2026 and 2027 maturities were pre-funded in 2025.</w:t>
      </w:r>
    </w:p>
    <w:p>
      <w:pPr>
        <w:pStyle w:val="Compact"/>
        <w:numPr>
          <w:ilvl w:val="0"/>
          <w:numId w:val="1005"/>
        </w:numPr>
      </w:pPr>
      <w:r>
        <w:t xml:space="preserve">Headcount down ~3,000 (~15%) since end-2024; fixed costs down &gt;$50M y/y in Q1.</w:t>
      </w:r>
    </w:p>
    <w:p>
      <w:pPr>
        <w:pStyle w:val="Compact"/>
        <w:numPr>
          <w:ilvl w:val="0"/>
          <w:numId w:val="1005"/>
        </w:numPr>
      </w:pPr>
      <w:r>
        <w:t xml:space="preserve">2026 capex guided to ~</w:t>
      </w:r>
      <m:oMath>
        <m:r>
          <m:t>1.2</m:t>
        </m:r>
        <m:r>
          <m:t>B</m:t>
        </m:r>
        <m:r>
          <m:rPr>
            <m:sty m:val="p"/>
          </m:rPr>
          <m:t>;</m:t>
        </m:r>
        <m:r>
          <m:t>M</m:t>
        </m:r>
        <m:r>
          <m:t>o</m:t>
        </m:r>
        <m:r>
          <m:t>R</m:t>
        </m:r>
        <m:r>
          <m:t>e</m:t>
        </m:r>
        <m:r>
          <m:t>T</m:t>
        </m:r>
        <m:r>
          <m:t>e</m:t>
        </m:r>
        <m:r>
          <m:t>c</m:t>
        </m:r>
        <m:r>
          <m:rPr>
            <m:sty m:val="p"/>
          </m:rPr>
          <m:t>−</m:t>
        </m:r>
        <m:r>
          <m:t>1</m:t>
        </m:r>
        <m:r>
          <m:rPr>
            <m:sty m:val="p"/>
          </m:rPr>
          <m:t>(</m:t>
        </m:r>
        <m:r>
          <m:t>c</m:t>
        </m:r>
        <m:r>
          <m:t>h</m:t>
        </m:r>
        <m:r>
          <m:t>e</m:t>
        </m:r>
        <m:r>
          <m:t>m</m:t>
        </m:r>
        <m:r>
          <m:t>i</m:t>
        </m:r>
        <m:r>
          <m:t>c</m:t>
        </m:r>
        <m:r>
          <m:t>a</m:t>
        </m:r>
        <m:r>
          <m:t>l</m:t>
        </m:r>
        <m:r>
          <m:t>r</m:t>
        </m:r>
        <m:r>
          <m:t>e</m:t>
        </m:r>
        <m:r>
          <m:t>c</m:t>
        </m:r>
        <m:r>
          <m:t>y</m:t>
        </m:r>
        <m:r>
          <m:t>c</m:t>
        </m:r>
        <m:r>
          <m:t>l</m:t>
        </m:r>
        <m:r>
          <m:t>i</m:t>
        </m:r>
        <m:r>
          <m:t>n</m:t>
        </m:r>
        <m:r>
          <m:t>g</m:t>
        </m:r>
        <m:r>
          <m:rPr>
            <m:sty m:val="p"/>
          </m:rPr>
          <m:t>)</m:t>
        </m:r>
        <m:r>
          <m:t>r</m:t>
        </m:r>
        <m:r>
          <m:t>a</m:t>
        </m:r>
        <m:r>
          <m:t>m</m:t>
        </m:r>
        <m:r>
          <m:t>p</m:t>
        </m:r>
        <m:r>
          <m:t>s</m:t>
        </m:r>
        <m:r>
          <m:t>l</m:t>
        </m:r>
        <m:r>
          <m:t>a</m:t>
        </m:r>
        <m:r>
          <m:t>t</m:t>
        </m:r>
        <m:r>
          <m:t>e</m:t>
        </m:r>
        <m:r>
          <m:t>2027</m:t>
        </m:r>
        <m:r>
          <m:rPr>
            <m:sty m:val="p"/>
          </m:rPr>
          <m:t>;</m:t>
        </m:r>
        <m:r>
          <m:t>g</m:t>
        </m:r>
        <m:r>
          <m:t>r</m:t>
        </m:r>
        <m:r>
          <m:t>o</m:t>
        </m:r>
        <m:r>
          <m:t>w</m:t>
        </m:r>
        <m:r>
          <m:t>t</m:t>
        </m:r>
        <m:r>
          <m:t>h</m:t>
        </m:r>
        <m:r>
          <m:t>p</m:t>
        </m:r>
        <m:r>
          <m:t>i</m:t>
        </m:r>
        <m:r>
          <m:t>p</m:t>
        </m:r>
        <m:r>
          <m:t>e</m:t>
        </m:r>
        <m:r>
          <m:t>l</m:t>
        </m:r>
        <m:r>
          <m:t>i</m:t>
        </m:r>
        <m:r>
          <m:t>n</m:t>
        </m:r>
        <m:r>
          <m:t>e</m:t>
        </m:r>
        <m:r>
          <m:t>p</m:t>
        </m:r>
        <m:r>
          <m:t>e</m:t>
        </m:r>
        <m:r>
          <m:t>g</m:t>
        </m:r>
        <m:r>
          <m:t>g</m:t>
        </m:r>
        <m:r>
          <m:t>e</m:t>
        </m:r>
        <m:r>
          <m:t>d</m:t>
        </m:r>
        <m:r>
          <m:t>a</m:t>
        </m:r>
        <m:r>
          <m:t>t</m:t>
        </m:r>
        <m:r>
          <m:t> </m:t>
        </m:r>
        <m:r>
          <m:rPr>
            <m:sty m:val="p"/>
          </m:rPr>
          <m:t>+</m:t>
        </m:r>
      </m:oMath>
      <w:r>
        <w:t xml:space="preserve">400M EBITDA.</w:t>
      </w:r>
    </w:p>
    <w:p>
      <w:pPr>
        <w:pStyle w:val="FirstParagraph"/>
      </w:pPr>
      <w:r>
        <w:rPr>
          <w:b/>
          <w:bCs/>
        </w:rPr>
        <w:t xml:space="preserve">The key capital-allocation question for the call:</w:t>
      </w:r>
      <w:r>
        <w:t xml:space="preserve"> </w:t>
      </w:r>
      <w:r>
        <w:t xml:space="preserve">with cash now surging, will management restore the dividend, restart buybacks (repurchases were paused/minimal), or accelerate the shelved growth projects (Flex-2, MoReTec-2, Middle East expansion)? CFO commentary was cautious — "only when the balance sheet and outlook is more secure." Any shift toward returning the windfall to shareholders vs. hoarding it would be a notable signal. Also watch for an</w:t>
      </w:r>
      <w:r>
        <w:t xml:space="preserve"> </w:t>
      </w:r>
      <w:r>
        <w:rPr>
          <w:b/>
          <w:bCs/>
        </w:rPr>
        <w:t xml:space="preserve">intentional working-capital build</w:t>
      </w:r>
      <w:r>
        <w:t xml:space="preserve"> </w:t>
      </w:r>
      <w:r>
        <w:t xml:space="preserve">in Q2 (flagged in Q1), which will temper free cash flow even as EBITDA jumps.</w:t>
      </w:r>
    </w:p>
    <w:p>
      <w:r>
        <w:pict>
          <v:rect style="width:0;height:1.5pt" o:hralign="center" o:hrstd="t" o:hr="t"/>
        </w:pict>
      </w:r>
    </w:p>
    <w:bookmarkEnd w:id="14"/>
    <w:bookmarkStart w:id="15" w:name="key-risks--what-could-go-wrong"/>
    <w:p>
      <w:pPr>
        <w:pStyle w:val="Heading2"/>
      </w:pPr>
      <w:r>
        <w:t xml:space="preserve">Key risks / what could go wrong</w:t>
      </w:r>
    </w:p>
    <w:p>
      <w:pPr>
        <w:pStyle w:val="Compact"/>
        <w:numPr>
          <w:ilvl w:val="0"/>
          <w:numId w:val="1006"/>
        </w:numPr>
      </w:pPr>
      <w:r>
        <w:rPr>
          <w:b/>
          <w:bCs/>
        </w:rPr>
        <w:t xml:space="preserve">Ceasefire / conflict resolution</w:t>
      </w:r>
      <w:r>
        <w:t xml:space="preserve"> </w:t>
      </w:r>
      <w:r>
        <w:t xml:space="preserve">unwinds the price premium faster than LYB expects (the consultants' base case for H2).</w:t>
      </w:r>
    </w:p>
    <w:p>
      <w:pPr>
        <w:pStyle w:val="Compact"/>
        <w:numPr>
          <w:ilvl w:val="0"/>
          <w:numId w:val="1006"/>
        </w:numPr>
      </w:pPr>
      <w:r>
        <w:rPr>
          <w:b/>
          <w:bCs/>
        </w:rPr>
        <w:t xml:space="preserve">Demand destruction</w:t>
      </w:r>
      <w:r>
        <w:t xml:space="preserve"> </w:t>
      </w:r>
      <w:r>
        <w:t xml:space="preserve">in durables (autos, building &amp; construction remain soft) if prices/oil stay high.</w:t>
      </w:r>
    </w:p>
    <w:p>
      <w:pPr>
        <w:pStyle w:val="Compact"/>
        <w:numPr>
          <w:ilvl w:val="0"/>
          <w:numId w:val="1006"/>
        </w:numPr>
      </w:pPr>
      <w:r>
        <w:rPr>
          <w:b/>
          <w:bCs/>
        </w:rPr>
        <w:t xml:space="preserve">Feedstock volatility</w:t>
      </w:r>
      <w:r>
        <w:t xml:space="preserve"> </w:t>
      </w:r>
      <w:r>
        <w:t xml:space="preserve">— European butane near record highs vs. crude has been compressing oxyfuels margins; naphtha swings can whipsaw European crackers (partly why EAI is only running ~80%).</w:t>
      </w:r>
    </w:p>
    <w:p>
      <w:pPr>
        <w:pStyle w:val="Compact"/>
        <w:numPr>
          <w:ilvl w:val="0"/>
          <w:numId w:val="1006"/>
        </w:numPr>
      </w:pPr>
      <w:r>
        <w:rPr>
          <w:b/>
          <w:bCs/>
        </w:rPr>
        <w:t xml:space="preserve">Bayport outage</w:t>
      </w:r>
      <w:r>
        <w:t xml:space="preserve"> </w:t>
      </w:r>
      <w:r>
        <w:t xml:space="preserve">and La Porte limitations cap I&amp;D this quarter.</w:t>
      </w:r>
    </w:p>
    <w:p>
      <w:pPr>
        <w:pStyle w:val="Compact"/>
        <w:numPr>
          <w:ilvl w:val="0"/>
          <w:numId w:val="1006"/>
        </w:numPr>
      </w:pPr>
      <w:r>
        <w:rPr>
          <w:b/>
          <w:bCs/>
        </w:rPr>
        <w:t xml:space="preserve">APS margin lag</w:t>
      </w:r>
      <w:r>
        <w:t xml:space="preserve"> </w:t>
      </w:r>
      <w:r>
        <w:t xml:space="preserve">from contractual repricing.</w:t>
      </w:r>
    </w:p>
    <w:p>
      <w:pPr>
        <w:pStyle w:val="Compact"/>
        <w:numPr>
          <w:ilvl w:val="0"/>
          <w:numId w:val="1006"/>
        </w:numPr>
      </w:pPr>
      <w:r>
        <w:rPr>
          <w:b/>
          <w:bCs/>
        </w:rPr>
        <w:t xml:space="preserve">Structurally weak Technology/licensing</w:t>
      </w:r>
      <w:r>
        <w:t xml:space="preserve"> </w:t>
      </w:r>
      <w:r>
        <w:t xml:space="preserve">as Chinese capex stalls.</w:t>
      </w:r>
    </w:p>
    <w:p>
      <w:r>
        <w:pict>
          <v:rect style="width:0;height:1.5pt" o:hralign="center" o:hrstd="t" o:hr="t"/>
        </w:pict>
      </w:r>
    </w:p>
    <w:bookmarkEnd w:id="15"/>
    <w:bookmarkStart w:id="16" w:name="bottom-line--what-to-watch-tomorrow"/>
    <w:p>
      <w:pPr>
        <w:pStyle w:val="Heading2"/>
      </w:pPr>
      <w:r>
        <w:t xml:space="preserve">Bottom line — what to watch tomorrow</w:t>
      </w:r>
    </w:p>
    <w:p>
      <w:pPr>
        <w:pStyle w:val="Compact"/>
        <w:numPr>
          <w:ilvl w:val="0"/>
          <w:numId w:val="1007"/>
        </w:numPr>
      </w:pPr>
      <w:r>
        <w:rPr>
          <w:b/>
          <w:bCs/>
        </w:rPr>
        <w:t xml:space="preserve">The magnitude of the sequential EBITDA ramp</w:t>
      </w:r>
      <w:r>
        <w:t xml:space="preserve"> </w:t>
      </w:r>
      <w:r>
        <w:t xml:space="preserve">off Q1's $615M, and how close O&amp;P-Americas gets toward its 2021-era earning power.</w:t>
      </w:r>
    </w:p>
    <w:p>
      <w:pPr>
        <w:pStyle w:val="Compact"/>
        <w:numPr>
          <w:ilvl w:val="0"/>
          <w:numId w:val="1007"/>
        </w:numPr>
      </w:pPr>
      <w:r>
        <w:rPr>
          <w:b/>
          <w:bCs/>
        </w:rPr>
        <w:t xml:space="preserve">PE/PP price realization</w:t>
      </w:r>
      <w:r>
        <w:t xml:space="preserve"> </w:t>
      </w:r>
      <w:r>
        <w:t xml:space="preserve">— did the ~$0.50/lb of hikes actually settle, and are July prices holding?</w:t>
      </w:r>
    </w:p>
    <w:p>
      <w:pPr>
        <w:pStyle w:val="Compact"/>
        <w:numPr>
          <w:ilvl w:val="0"/>
          <w:numId w:val="1007"/>
        </w:numPr>
      </w:pPr>
      <w:r>
        <w:rPr>
          <w:b/>
          <w:bCs/>
        </w:rPr>
        <w:t xml:space="preserve">Management's durability narrative</w:t>
      </w:r>
      <w:r>
        <w:t xml:space="preserve"> </w:t>
      </w:r>
      <w:r>
        <w:t xml:space="preserve">vs. the consultant fade thesis — the most important driver of the stock given how much the price already round-tripped.</w:t>
      </w:r>
    </w:p>
    <w:p>
      <w:pPr>
        <w:pStyle w:val="Compact"/>
        <w:numPr>
          <w:ilvl w:val="0"/>
          <w:numId w:val="1007"/>
        </w:numPr>
      </w:pPr>
      <w:r>
        <w:rPr>
          <w:b/>
          <w:bCs/>
        </w:rPr>
        <w:t xml:space="preserve">Capital-allocation signal</w:t>
      </w:r>
      <w:r>
        <w:t xml:space="preserve"> </w:t>
      </w:r>
      <w:r>
        <w:t xml:space="preserve">— with cash building, any hint on dividend restoration, buybacks, or unlocking the growth pipeline.</w:t>
      </w:r>
    </w:p>
    <w:p>
      <w:pPr>
        <w:pStyle w:val="Compact"/>
        <w:numPr>
          <w:ilvl w:val="0"/>
          <w:numId w:val="1007"/>
        </w:numPr>
      </w:pPr>
      <w:r>
        <w:rPr>
          <w:b/>
          <w:bCs/>
        </w:rPr>
        <w:t xml:space="preserve">Q3 setup</w:t>
      </w:r>
      <w:r>
        <w:t xml:space="preserve"> </w:t>
      </w:r>
      <w:r>
        <w:t xml:space="preserve">— Bayport restart, European portfolio now streamlined, and whether the supply gap is still widening.</w:t>
      </w:r>
    </w:p>
    <w:p>
      <w:pPr>
        <w:pStyle w:val="FirstParagraph"/>
      </w:pPr>
      <w:r>
        <w:t xml:space="preserve">Net: this should be a strong quarter on paper, but with the stock having already surged and retreated, the market's reaction will hinge on</w:t>
      </w:r>
      <w:r>
        <w:t xml:space="preserve"> </w:t>
      </w:r>
      <w:r>
        <w:rPr>
          <w:b/>
          <w:bCs/>
        </w:rPr>
        <w:t xml:space="preserve">whether LYB can convince investors the earnings power is structural rather than a transient war spike</w:t>
      </w:r>
      <w:r>
        <w:t xml:space="preserve"> </w:t>
      </w:r>
      <w:r>
        <w:t xml:space="preserve">— and on how it plans to deploy the cash windfall.</w:t>
      </w:r>
    </w:p>
    <w:p>
      <w:pPr>
        <w:pStyle w:val="BodyText"/>
      </w:pPr>
      <w:r>
        <w:rPr>
          <w:i/>
          <w:iCs/>
        </w:rPr>
        <w:t xml:space="preserve">Note: figures above are drawn from LYB's Q4 2025 / Q2 2025 releases, the Q1 2026 earnings call, and market prices through July 30, 2026. I did not have a published Street consensus for Q2 2026 in my sources, so expectations here are framed off the recent quarterly trajectory and management's own guidance rather than a formal consensus estimate.</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2026-07-31T01:53:59Z</dcterms:created>
  <dcterms:modified xsi:type="dcterms:W3CDTF">2026-07-31T01:53:59Z</dcterms:modified>
</cp:coreProperties>
</file>

<file path=docProps/custom.xml><?xml version="1.0" encoding="utf-8"?>
<Properties xmlns="http://schemas.openxmlformats.org/officeDocument/2006/custom-properties" xmlns:vt="http://schemas.openxmlformats.org/officeDocument/2006/docPropsVTypes"/>
</file>