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b-earnings-predictions--2026-07-31"/>
    <w:p>
      <w:pPr>
        <w:pStyle w:val="Heading1"/>
      </w:pPr>
      <w:r>
        <w:t xml:space="preserve">LYB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(Total Company)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~$1.35B vs. cons $1.22B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O&amp;P-Americas Segment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~$550M vs. cons $470M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EBITDA/Pricing Momentum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~flat-to-down qoq tone vs. cons expecting sequential improvement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O&amp;P-Americas Utilization/PE-PP Spread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~90% utilization achieved, PE/PP spreads holding near guided levels vs. cons assuming continued spread expansion (Q2 2026 actual / Q3 commentary)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I&amp;D Bayport PO/TBA Restart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~restart completed by quarter-end as promised vs. cons expecting on-time restart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Allocation / Dividend Policy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~debt paydown priority maintained, no near-term dividend restoration vs. cons hoping for capital return signal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Q2 results likely beat on the Middle East-driven pricing catch-up (PE/PP spreads, Bayport restart), consistent with the Dow/Eastman beat pattern already seen in peers, supporting a positive day-1 pop as LYB re-rates off deeply oversold levels (stock down from</w:t>
            </w:r>
            <w:r>
              <w:t xml:space="preserve"> </w:t>
            </w:r>
            <m:oMath>
              <m:r>
                <m:t>82</m:t>
              </m:r>
              <m:r>
                <m:t>A</m:t>
              </m:r>
              <m:r>
                <m:t>T</m:t>
              </m:r>
              <m:r>
                <m:t>H</m:t>
              </m:r>
              <m:r>
                <m:t>t</m:t>
              </m:r>
              <m:r>
                <m:t>o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−</m:t>
              </m:r>
            </m:oMath>
            <w:r>
              <w:t xml:space="preserve">50s before this week's bounce to ~$60 on fresh Iran escalation. However, DOW and OLN's soft Q3 guides (both well below consensus) signal the sell-side will apply the same skepticism to LYB's forward commentary: any hint that PE/PP price gains are decelerating into Q3, or that the Bayport restart benefit is largely already realized, will drive out-period estimate cuts even after a Q2 beat. Given LYB's higher leverage to the same input-cost/pricing dynamics and its own admission of soft APS/auto demand and still-weak Technology licensing, the initial pop is likely to fade over the following days as analysts model a step-down in H2 EBITDA, especially if Middle East risk premium volatility (whipsawing the stock 90% peak-to-trough already this year) proves unstable rather than a durable structural re-rating catalyst.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2026-07-31T00:39:25Z</dcterms:created>
  <dcterms:modified xsi:type="dcterms:W3CDTF">2026-07-31T00:39:25Z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