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5a602b0274dba0aaba38ee43cfa58136cb882d0"/>
    <w:p>
      <w:pPr>
        <w:pStyle w:val="Heading1"/>
      </w:pPr>
      <w:r>
        <w:t xml:space="preserve">LyondellBasell (LYB) — Q2 2026 Earnings Preview</w:t>
      </w:r>
    </w:p>
    <w:p>
      <w:pPr>
        <w:pStyle w:val="FirstParagraph"/>
      </w:pPr>
      <w:r>
        <w:rPr>
          <w:b/>
          <w:bCs/>
        </w:rPr>
        <w:t xml:space="preserve">Report Date:</w:t>
      </w:r>
      <w:r>
        <w:t xml:space="preserve"> </w:t>
      </w:r>
      <w:r>
        <w:t xml:space="preserve">2026-07-31 |</w:t>
      </w:r>
      <w:r>
        <w:t xml:space="preserve"> </w:t>
      </w:r>
      <w:r>
        <w:rPr>
          <w:b/>
          <w:bCs/>
        </w:rPr>
        <w:t xml:space="preserve">Prior Close:</w:t>
      </w:r>
      <w:r>
        <w:t xml:space="preserve"> </w:t>
      </w:r>
      <w:r>
        <w:t xml:space="preserve">~$60.46 |</w:t>
      </w:r>
      <w:r>
        <w:t xml:space="preserve"> </w:t>
      </w:r>
      <w:r>
        <w:rPr>
          <w:b/>
          <w:bCs/>
        </w:rPr>
        <w:t xml:space="preserve">Event:</w:t>
      </w:r>
      <w:r>
        <w:t xml:space="preserve"> </w:t>
      </w:r>
      <w:r>
        <w:t xml:space="preserve">2026Q2 Earnings Call</w:t>
      </w:r>
    </w:p>
    <w:bookmarkStart w:id="9" w:name="Xcbceff41889cbe989ff417f0a71c9d2ff8927b0"/>
    <w:p>
      <w:pPr>
        <w:pStyle w:val="Heading2"/>
      </w:pPr>
      <w:r>
        <w:t xml:space="preserve">The Setup: A Geopolitical Petrochemical Supercycle, With Whiplash</w:t>
      </w:r>
    </w:p>
    <w:p>
      <w:pPr>
        <w:pStyle w:val="FirstParagraph"/>
      </w:pPr>
      <w:r>
        <w:t xml:space="preserve">LYB's stock has had an extraordinary round trip in 2026. Shares started the year near $44, ripped to an all-time-high of roughly</w:t>
      </w:r>
      <w:r>
        <w:t xml:space="preserve"> </w:t>
      </w:r>
      <m:oMath>
        <m:r>
          <m:t>82</m:t>
        </m:r>
        <m:r>
          <m:t>b</m:t>
        </m:r>
        <m:r>
          <m:t>y</m:t>
        </m:r>
        <m:r>
          <m:t>l</m:t>
        </m:r>
        <m:r>
          <m:t>a</m:t>
        </m:r>
        <m:r>
          <m:t>t</m:t>
        </m:r>
        <m:r>
          <m:t>e</m:t>
        </m:r>
        <m:r>
          <m:t>M</m:t>
        </m:r>
        <m:r>
          <m:t>a</m:t>
        </m:r>
        <m:r>
          <m:t>r</m:t>
        </m:r>
        <m:r>
          <m:t>c</m:t>
        </m:r>
        <m:r>
          <m:t>h</m:t>
        </m:r>
        <m:r>
          <m:t>a</m:t>
        </m:r>
        <m:r>
          <m:t>s</m:t>
        </m:r>
        <m:r>
          <m:t>t</m:t>
        </m:r>
        <m:r>
          <m:t>h</m:t>
        </m:r>
        <m:r>
          <m:t>e</m:t>
        </m:r>
        <m:r>
          <m:t>M</m:t>
        </m:r>
        <m:r>
          <m:t>i</m:t>
        </m:r>
        <m:r>
          <m:t>d</m:t>
        </m:r>
        <m:r>
          <m:t>d</m:t>
        </m:r>
        <m:r>
          <m:t>l</m:t>
        </m:r>
        <m:r>
          <m:t>e</m:t>
        </m:r>
        <m:r>
          <m:t>E</m:t>
        </m:r>
        <m:r>
          <m:t>a</m:t>
        </m:r>
        <m:r>
          <m:t>s</m:t>
        </m:r>
        <m:r>
          <m:t>t</m:t>
        </m:r>
        <m:r>
          <m:t>c</m:t>
        </m:r>
        <m:r>
          <m:t>o</m:t>
        </m:r>
        <m:r>
          <m:t>n</m:t>
        </m:r>
        <m:r>
          <m:t>f</m:t>
        </m:r>
        <m:r>
          <m:t>l</m:t>
        </m:r>
        <m:r>
          <m:t>i</m:t>
        </m:r>
        <m:r>
          <m:t>c</m:t>
        </m:r>
        <m:r>
          <m:t>t</m:t>
        </m:r>
        <m:r>
          <m:t>c</m:t>
        </m:r>
        <m:r>
          <m:t>u</m:t>
        </m:r>
        <m:r>
          <m:t>t</m:t>
        </m:r>
        <m:r>
          <m:t>o</m:t>
        </m:r>
        <m:r>
          <m:t>f</m:t>
        </m:r>
        <m:r>
          <m:t>f</m:t>
        </m:r>
        <m:r>
          <m:t>a</m:t>
        </m:r>
        <m:r>
          <m:t>h</m:t>
        </m:r>
        <m:r>
          <m:t>u</m:t>
        </m:r>
        <m:r>
          <m:t>g</m:t>
        </m:r>
        <m:r>
          <m:t>e</m:t>
        </m:r>
        <m:r>
          <m:t>s</m:t>
        </m:r>
        <m:r>
          <m:t>w</m:t>
        </m:r>
        <m:r>
          <m:t>a</m:t>
        </m:r>
        <m:r>
          <m:t>t</m:t>
        </m:r>
        <m:r>
          <m:t>h</m:t>
        </m:r>
        <m:r>
          <m:t>o</m:t>
        </m:r>
        <m:r>
          <m:t>f</m:t>
        </m:r>
        <m:r>
          <m:t>g</m:t>
        </m:r>
        <m:r>
          <m:t>l</m:t>
        </m:r>
        <m:r>
          <m:t>o</m:t>
        </m:r>
        <m:r>
          <m:t>b</m:t>
        </m:r>
        <m:r>
          <m:t>a</m:t>
        </m:r>
        <m:r>
          <m:t>l</m:t>
        </m:r>
        <m:r>
          <m:t>p</m:t>
        </m:r>
        <m:r>
          <m:t>e</m:t>
        </m:r>
        <m:r>
          <m:t>t</m:t>
        </m:r>
        <m:r>
          <m:t>r</m:t>
        </m:r>
        <m:r>
          <m:t>o</m:t>
        </m:r>
        <m:r>
          <m:t>c</m:t>
        </m:r>
        <m:r>
          <m:t>h</m:t>
        </m:r>
        <m:r>
          <m:t>e</m:t>
        </m:r>
        <m:r>
          <m:t>m</m:t>
        </m:r>
        <m:r>
          <m:t>i</m:t>
        </m:r>
        <m:r>
          <m:t>c</m:t>
        </m:r>
        <m:r>
          <m:t>a</m:t>
        </m:r>
        <m:r>
          <m:t>l</m:t>
        </m:r>
        <m:r>
          <m:t>s</m:t>
        </m:r>
        <m:r>
          <m:t>u</m:t>
        </m:r>
        <m:r>
          <m:t>p</m:t>
        </m:r>
        <m:r>
          <m:t>p</m:t>
        </m:r>
        <m:r>
          <m:t>l</m:t>
        </m:r>
        <m:r>
          <m:t>y</m:t>
        </m:r>
        <m:r>
          <m:rPr>
            <m:sty m:val="p"/>
          </m:rPr>
          <m:t>,</m:t>
        </m:r>
        <m:r>
          <m:t>t</m:t>
        </m:r>
        <m:r>
          <m:t>h</m:t>
        </m:r>
        <m:r>
          <m:t>e</m:t>
        </m:r>
        <m:r>
          <m:t>n</m:t>
        </m:r>
        <m:r>
          <m:t>r</m:t>
        </m:r>
        <m:r>
          <m:t>o</m:t>
        </m:r>
        <m:r>
          <m:t>u</m:t>
        </m:r>
        <m:r>
          <m:t>n</m:t>
        </m:r>
        <m:r>
          <m:t>d</m:t>
        </m:r>
        <m:r>
          <m:rPr>
            <m:sty m:val="p"/>
          </m:rPr>
          <m:t>−</m:t>
        </m:r>
        <m:r>
          <m:t>t</m:t>
        </m:r>
        <m:r>
          <m:t>r</m:t>
        </m:r>
        <m:r>
          <m:t>i</m:t>
        </m:r>
        <m:r>
          <m:t>p</m:t>
        </m:r>
        <m:r>
          <m:t>p</m:t>
        </m:r>
        <m:r>
          <m:t>e</m:t>
        </m:r>
        <m:r>
          <m:t>d</m:t>
        </m:r>
        <m:r>
          <m:t>b</m:t>
        </m:r>
        <m:r>
          <m:t>a</m:t>
        </m:r>
        <m:r>
          <m:t>c</m:t>
        </m:r>
        <m:r>
          <m:t>k</m:t>
        </m:r>
        <m:r>
          <m:t>d</m:t>
        </m:r>
        <m:r>
          <m:t>o</m:t>
        </m:r>
        <m:r>
          <m:t>w</m:t>
        </m:r>
        <m:r>
          <m:t>n</m:t>
        </m:r>
        <m:r>
          <m:t>t</m:t>
        </m:r>
        <m:r>
          <m:t>o</m:t>
        </m:r>
        <m:r>
          <m:t>t</m:t>
        </m:r>
        <m:r>
          <m:t>h</m:t>
        </m:r>
        <m:r>
          <m:t>e</m:t>
        </m:r>
        <m:r>
          <m:t>l</m:t>
        </m:r>
        <m:r>
          <m:t>o</m:t>
        </m:r>
        <m:r>
          <m:t>w</m:t>
        </m:r>
        <m:r>
          <m:rPr>
            <m:sty m:val="p"/>
          </m:rPr>
          <m:t>−</m:t>
        </m:r>
      </m:oMath>
      <w:r>
        <w:t xml:space="preserve">50s by late June as markets priced in de-escalation, before rebounding to ~$60 over the past two weeks. That last leg up coincides with a fresh escalation: U.S. forces launched waves of airstrikes against Iran, and Tehran launched ballistic missile and drone attacks on U.S. military positions, with Brent crude surging nearly 8% on the news before paring gains. This is the single biggest swing factor for the print: LYB is now effectively a levered play on Strait of Hormuz risk premium, and the setup into tomorrow's call is "hot" again after cooling for most of Q2.</w:t>
      </w:r>
    </w:p>
    <w:bookmarkEnd w:id="9"/>
    <w:bookmarkStart w:id="10" w:name="X95c6d0061db2dd3aa51d6d6d68ac50cbbb88d5b"/>
    <w:p>
      <w:pPr>
        <w:pStyle w:val="Heading2"/>
      </w:pPr>
      <w:r>
        <w:t xml:space="preserve">Q1 Recap: The Disruption Thesis Already Playing Out</w:t>
      </w:r>
    </w:p>
    <w:p>
      <w:pPr>
        <w:pStyle w:val="FirstParagraph"/>
      </w:pPr>
      <w:r>
        <w:t xml:space="preserve">LYB's Q1 2026 call (reported May 1) laid the groundwork for what to expect in Q2. Management described a market inflection: the Middle East conflict and its unprecedented effects on energy prices and global logistics has shifted the paradigm for petrochemicals, with naphtha-based producers in China and Southeast Asia facing sharply higher costs while U.S. ethane economics have improved. Crucially, LYB argued this isn't a short-lived spike: management believes the geopolitical risk premium for crude oil will persist even after a resolution to the conflict, and discounts for sanctioned crude are unlikely to return, durably steepening the global cost curve.</w:t>
      </w:r>
    </w:p>
    <w:p>
      <w:pPr>
        <w:pStyle w:val="BodyText"/>
      </w:pPr>
      <w:r>
        <w:t xml:space="preserve">Financially, Q1 EBITDA came in at $615M (non-GAAP) with EPS of $0.49, and EBITDA improved by nearly 50%, supported by both typical seasonal trends and a significant improvement in market conditions during March. On a GAAP basis per the 10-Q, EBITDA was $568M and net income $125M.</w:t>
      </w:r>
    </w:p>
    <w:bookmarkEnd w:id="10"/>
    <w:bookmarkStart w:id="11" w:name="X6d24fd1807f6d9e5a41b8d15a47fab646e67017"/>
    <w:p>
      <w:pPr>
        <w:pStyle w:val="Heading2"/>
      </w:pPr>
      <w:r>
        <w:t xml:space="preserve">Q2 Guidance Set by Management — The Bar to Beat</w:t>
      </w:r>
    </w:p>
    <w:p>
      <w:pPr>
        <w:pStyle w:val="FirstParagraph"/>
      </w:pPr>
      <w:r>
        <w:t xml:space="preserve">Management gave fairly specific segment-level guidance for Q2 that investors should hold the company to:</w:t>
      </w:r>
    </w:p>
    <w:p>
      <w:pPr>
        <w:pStyle w:val="Compact"/>
        <w:numPr>
          <w:ilvl w:val="0"/>
          <w:numId w:val="1001"/>
        </w:numPr>
      </w:pPr>
      <w:r>
        <w:rPr>
          <w:b/>
          <w:bCs/>
        </w:rPr>
        <w:t xml:space="preserve">O&amp;P–Americas:</w:t>
      </w:r>
      <w:r>
        <w:t xml:space="preserve"> </w:t>
      </w:r>
      <w:r>
        <w:t xml:space="preserve">order books were strong with April orders for polyethylene 20% above pre-war averages, supporting cumulative price increases of $0.50/lb in polyethylene across April and May plus $0.10/lb polypropylene spread increases in both months. Management targeted 90% utilization of nameplate capacity across the segment during the second quarter.</w:t>
      </w:r>
    </w:p>
    <w:p>
      <w:pPr>
        <w:pStyle w:val="Compact"/>
        <w:numPr>
          <w:ilvl w:val="0"/>
          <w:numId w:val="1001"/>
        </w:numPr>
      </w:pPr>
      <w:r>
        <w:rPr>
          <w:b/>
          <w:bCs/>
        </w:rPr>
        <w:t xml:space="preserve">O&amp;P–EAI (Europe/Asia):</w:t>
      </w:r>
      <w:r>
        <w:t xml:space="preserve"> </w:t>
      </w:r>
      <w:r>
        <w:t xml:space="preserve">Following the closing of the Velogy European asset sale, polymer margins were expected to improve as the team passes through higher energy/raw material costs, with operating rates rising to approximately 80% during the second quarter.</w:t>
      </w:r>
    </w:p>
    <w:p>
      <w:pPr>
        <w:pStyle w:val="Compact"/>
        <w:numPr>
          <w:ilvl w:val="0"/>
          <w:numId w:val="1001"/>
        </w:numPr>
      </w:pPr>
      <w:r>
        <w:rPr>
          <w:b/>
          <w:bCs/>
        </w:rPr>
        <w:t xml:space="preserve">I&amp;D (Intermediates &amp; Derivatives):</w:t>
      </w:r>
      <w:r>
        <w:t xml:space="preserve"> </w:t>
      </w:r>
      <w:r>
        <w:t xml:space="preserve">The Bayport PO/TBA outage was the key swing factor — the Bayport PO/TBA asset was expected to restart toward the end of the second quarter, with an estimated earnings impact of approximately $25 million per week while down, and acetyls volumes and margins were expected to improve following the La Porte restart, with segment operating rates targeted around 75%.</w:t>
      </w:r>
    </w:p>
    <w:p>
      <w:pPr>
        <w:pStyle w:val="Compact"/>
        <w:numPr>
          <w:ilvl w:val="0"/>
          <w:numId w:val="1001"/>
        </w:numPr>
      </w:pPr>
      <w:r>
        <w:rPr>
          <w:b/>
          <w:bCs/>
        </w:rPr>
        <w:t xml:space="preserve">APS (Advanced Polymer Solutions):</w:t>
      </w:r>
      <w:r>
        <w:t xml:space="preserve"> </w:t>
      </w:r>
      <w:r>
        <w:t xml:space="preserve">Management flagged soft near-term demand in automotive and durable goods, with contractual limits on pricing velocity pressuring margins over the near term even as raw material costs rise.</w:t>
      </w:r>
    </w:p>
    <w:p>
      <w:pPr>
        <w:pStyle w:val="Compact"/>
        <w:numPr>
          <w:ilvl w:val="0"/>
          <w:numId w:val="1001"/>
        </w:numPr>
      </w:pPr>
      <w:r>
        <w:rPr>
          <w:b/>
          <w:bCs/>
        </w:rPr>
        <w:t xml:space="preserve">Technology:</w:t>
      </w:r>
      <w:r>
        <w:t xml:space="preserve"> </w:t>
      </w:r>
      <w:r>
        <w:t xml:space="preserve">Guided to be only slightly lower than fourth-quarter 2025 results, still depressed versus history given weak licensing demand.</w:t>
      </w:r>
    </w:p>
    <w:p>
      <w:pPr>
        <w:pStyle w:val="FirstParagraph"/>
      </w:pPr>
      <w:r>
        <w:t xml:space="preserve">The company's own 10-Q outlook reiterated the constructive tone: market conditions were expected to improve across almost all businesses in Q2, reflecting tighter supply dynamics and favorable pricing trends from the Middle East disruption, with further North American margin expansion, European margin improvement post-divestiture, oxyfuels spread widening, and stronger methanol/acetyls.</w:t>
      </w:r>
    </w:p>
    <w:bookmarkEnd w:id="11"/>
    <w:bookmarkStart w:id="12" w:name="Xc8e17448014b9ace5669e27ec81d5e01212cffe"/>
    <w:p>
      <w:pPr>
        <w:pStyle w:val="Heading2"/>
      </w:pPr>
      <w:r>
        <w:t xml:space="preserve">Peer Read-Throughs: Mixed Signals Into the Print</w:t>
      </w:r>
    </w:p>
    <w:p>
      <w:pPr>
        <w:pStyle w:val="FirstParagraph"/>
      </w:pPr>
      <w:r>
        <w:t xml:space="preserve">Chemical peers have already reported Q2, and the tape has been more nuanced than the Q1 narrative suggested:</w:t>
      </w:r>
    </w:p>
    <w:p>
      <w:pPr>
        <w:pStyle w:val="Compact"/>
        <w:numPr>
          <w:ilvl w:val="0"/>
          <w:numId w:val="1002"/>
        </w:numPr>
      </w:pPr>
      <w:r>
        <w:rPr>
          <w:b/>
          <w:bCs/>
        </w:rPr>
        <w:t xml:space="preserve">Dow (DOW):</w:t>
      </w:r>
      <w:r>
        <w:t xml:space="preserve"> </w:t>
      </w:r>
      <w:r>
        <w:t xml:space="preserve">beat estimates with adjusted profit of $1.44/share vs. $1.28 expected, helped by higher prices and volumes from the Middle East conflict-driven supply shock, with packaging/specialty plastics net sales up 27% to $6.4 billion on higher polyethylene prices in all regions. However, Dow's Q3 EBITDA guidance of $1.75B fell short of Street expectations of $1.86B — a caution flag that the pricing tailwind may be plateauing into H2.</w:t>
      </w:r>
    </w:p>
    <w:p>
      <w:pPr>
        <w:pStyle w:val="Compact"/>
        <w:numPr>
          <w:ilvl w:val="0"/>
          <w:numId w:val="1002"/>
        </w:numPr>
      </w:pPr>
      <w:r>
        <w:rPr>
          <w:b/>
          <w:bCs/>
        </w:rPr>
        <w:t xml:space="preserve">Olin (OLN):</w:t>
      </w:r>
      <w:r>
        <w:t xml:space="preserve"> </w:t>
      </w:r>
      <w:r>
        <w:t xml:space="preserve">reported a miss on Q2 EPS, though EBITDA of $191.3M exceeded Street expectations of $185.5M; the company guided Q3 EBITDA to $180M, well below consensus of $226M — another signal that sequential momentum may be fading for commodity chemical names.</w:t>
      </w:r>
    </w:p>
    <w:p>
      <w:pPr>
        <w:pStyle w:val="Compact"/>
        <w:numPr>
          <w:ilvl w:val="0"/>
          <w:numId w:val="1002"/>
        </w:numPr>
      </w:pPr>
      <w:r>
        <w:rPr>
          <w:b/>
          <w:bCs/>
        </w:rPr>
        <w:t xml:space="preserve">Eastman Chemical (EMN):</w:t>
      </w:r>
      <w:r>
        <w:t xml:space="preserve"> </w:t>
      </w:r>
      <w:r>
        <w:t xml:space="preserve">More upbeat — EPS of $1.97 beat expectations of $1.81, and Q3 EPS guidance of $1.97 also exceeded consensus of $1.89, with management expressing confidence in significantly improving 2026 earnings versus 2025.</w:t>
      </w:r>
    </w:p>
    <w:p>
      <w:pPr>
        <w:pStyle w:val="FirstParagraph"/>
      </w:pPr>
      <w:r>
        <w:t xml:space="preserve">Net takeaway: the "Middle East shock = pricing power" thesis clearly showed up in Q2 results across the group, but guidance commentary (Dow, Olin) suggests the sell-side is more skeptical about durability into Q3/Q4 than management teams are — precisely the tension LYB's own CEO pushed back on in the Q1 call (see below).</w:t>
      </w:r>
    </w:p>
    <w:bookmarkEnd w:id="12"/>
    <w:bookmarkStart w:id="13" w:name="key-debates-to-watch-on-the-call"/>
    <w:p>
      <w:pPr>
        <w:pStyle w:val="Heading2"/>
      </w:pPr>
      <w:r>
        <w:t xml:space="preserve">Key Debates to Watch on the Call</w:t>
      </w:r>
    </w:p>
    <w:p>
      <w:pPr>
        <w:pStyle w:val="Compact"/>
        <w:numPr>
          <w:ilvl w:val="0"/>
          <w:numId w:val="1003"/>
        </w:numPr>
      </w:pPr>
      <w:r>
        <w:rPr>
          <w:b/>
          <w:bCs/>
        </w:rPr>
        <w:t xml:space="preserve">Will pricing hold or erode into H2?</w:t>
      </w:r>
      <w:r>
        <w:t xml:space="preserve"> </w:t>
      </w:r>
      <w:r>
        <w:t xml:space="preserve">On the Q1 call, LYB's CEO explicitly disputed consultants' bearish PE price forecasts: management argued the disruption "is not to be measured in quarters... it's probably going to be multiple quarters" given the scale of the shock, both asset-related and logistics-related, and that a sustained geopolitical risk premium should durably steepen the global cost curve versus pre-war conditions. With DOW and OLN's soft Q3 guides, this debate will resurface directly.</w:t>
      </w:r>
    </w:p>
    <w:p>
      <w:pPr>
        <w:pStyle w:val="Compact"/>
        <w:numPr>
          <w:ilvl w:val="0"/>
          <w:numId w:val="1003"/>
        </w:numPr>
      </w:pPr>
      <w:r>
        <w:rPr>
          <w:b/>
          <w:bCs/>
        </w:rPr>
        <w:t xml:space="preserve">Polypropylene — the "sleeping giant."</w:t>
      </w:r>
      <w:r>
        <w:t xml:space="preserve"> </w:t>
      </w:r>
      <w:r>
        <w:t xml:space="preserve">Management repeatedly flagged PP as the biggest upside lever: roughly 70%-plus of global PP supply was seen as impacted by the Middle East disruption (including PDH feedstock losses), with PP pricing still well below 2021 peak levels, leaving significant room to run. Watch for confirmation that PP spreads accelerated as promised.</w:t>
      </w:r>
    </w:p>
    <w:p>
      <w:pPr>
        <w:pStyle w:val="Compact"/>
        <w:numPr>
          <w:ilvl w:val="0"/>
          <w:numId w:val="1003"/>
        </w:numPr>
      </w:pPr>
      <w:r>
        <w:rPr>
          <w:b/>
          <w:bCs/>
        </w:rPr>
        <w:t xml:space="preserve">Bayport restart execution.</w:t>
      </w:r>
      <w:r>
        <w:t xml:space="preserve"> </w:t>
      </w:r>
      <w:r>
        <w:t xml:space="preserve">The PO/TBA outage cost roughly $25M/week; full restart by quarter-end was guided. Any slippage is a direct, quantifiable EBITDA headwind for I&amp;D.</w:t>
      </w:r>
    </w:p>
    <w:p>
      <w:pPr>
        <w:pStyle w:val="Compact"/>
        <w:numPr>
          <w:ilvl w:val="0"/>
          <w:numId w:val="1003"/>
        </w:numPr>
      </w:pPr>
      <w:r>
        <w:rPr>
          <w:b/>
          <w:bCs/>
        </w:rPr>
        <w:t xml:space="preserve">Capital allocation discipline.</w:t>
      </w:r>
      <w:r>
        <w:t xml:space="preserve"> </w:t>
      </w:r>
      <w:r>
        <w:t xml:space="preserve">LYB cut its quarterly dividend by 50% in Q1 explicitly to rebalance capital allocation and improve financial flexibility, and management stressed the near-term focus remains on strengthening the investment-grade balance sheet and repaying 2026/2027 debt maturities prefunded in 2025. As of Q1-end, LYB carried total debt of $12,921 million against cash of $2,635 million and $4,650 million of unused credit facility availability. With cash flow now inflecting positively on higher prices, investors will want clarity on whether capital return (dividend, buybacks) could be restored, or whether debt paydown remains the priority.</w:t>
      </w:r>
    </w:p>
    <w:p>
      <w:pPr>
        <w:pStyle w:val="Compact"/>
        <w:numPr>
          <w:ilvl w:val="0"/>
          <w:numId w:val="1003"/>
        </w:numPr>
      </w:pPr>
      <w:r>
        <w:rPr>
          <w:b/>
          <w:bCs/>
        </w:rPr>
        <w:t xml:space="preserve">China / technology licensing.</w:t>
      </w:r>
      <w:r>
        <w:t xml:space="preserve"> </w:t>
      </w:r>
      <w:r>
        <w:t xml:space="preserve">Management linked weak licensing demand to Chinese "anti-involution" capacity policy: priorities are shifting toward replacing old assets (targeted for 2028-2029) rather than new projects, reducing near-term demand for new licenses even as pricing signals capacity discipline. A read on whether this is stabilizing matters for the multi-year Technology segment trajectory.</w:t>
      </w:r>
    </w:p>
    <w:p>
      <w:pPr>
        <w:pStyle w:val="Compact"/>
        <w:numPr>
          <w:ilvl w:val="0"/>
          <w:numId w:val="1003"/>
        </w:numPr>
      </w:pPr>
      <w:r>
        <w:rPr>
          <w:b/>
          <w:bCs/>
        </w:rPr>
        <w:t xml:space="preserve">Fresh geopolitical escalation.</w:t>
      </w:r>
      <w:r>
        <w:t xml:space="preserve"> </w:t>
      </w:r>
      <w:r>
        <w:t xml:space="preserve">With the U.S.-Iran conflict re-escalating just this week (U.S. strikes on Iran, Iranian missile/drone retaliation on U.S. forces), expect management to address how a renewed spike in oil/logistics risk is being reflected in current order books and Q3 pricing conversations — this is likely to be the single most-asked question on tomorrow's call.</w:t>
      </w:r>
    </w:p>
    <w:bookmarkEnd w:id="13"/>
    <w:bookmarkStart w:id="14" w:name="what-could-move-the-stock"/>
    <w:p>
      <w:pPr>
        <w:pStyle w:val="Heading2"/>
      </w:pPr>
      <w:r>
        <w:t xml:space="preserve">What Could Move the Stock</w:t>
      </w:r>
    </w:p>
    <w:p>
      <w:pPr>
        <w:pStyle w:val="Compact"/>
        <w:numPr>
          <w:ilvl w:val="0"/>
          <w:numId w:val="1004"/>
        </w:numPr>
      </w:pPr>
      <w:r>
        <w:rPr>
          <w:b/>
          <w:bCs/>
        </w:rPr>
        <w:t xml:space="preserve">Upside:</w:t>
      </w:r>
      <w:r>
        <w:t xml:space="preserve"> </w:t>
      </w:r>
      <w:r>
        <w:t xml:space="preserve">A Q2 beat with confirmation that PE/PP price increases held (or exceeded) the guided $0.50/lb PE and $0.10/lb PP spread cadence, Bayport back at full rates on schedule, and — most importantly — commentary that Q3 order books/pricing remain firm despite the DOW/OLN guidance wobbles.</w:t>
      </w:r>
    </w:p>
    <w:p>
      <w:pPr>
        <w:pStyle w:val="Compact"/>
        <w:numPr>
          <w:ilvl w:val="0"/>
          <w:numId w:val="1004"/>
        </w:numPr>
      </w:pPr>
      <w:r>
        <w:rPr>
          <w:b/>
          <w:bCs/>
        </w:rPr>
        <w:t xml:space="preserve">Downside:</w:t>
      </w:r>
      <w:r>
        <w:t xml:space="preserve"> </w:t>
      </w:r>
      <w:r>
        <w:t xml:space="preserve">Signs that the pricing catch-up is decelerating (echoing Dow/Olin's soft Q3 guides), further slippage at Bayport, weaker-than-expected APS/auto demand, or a dovish read on Middle East de-escalation that removes the scarcity premium underpinning the entire 2026 chemical rally.</w:t>
      </w:r>
    </w:p>
    <w:p>
      <w:pPr>
        <w:pStyle w:val="Compact"/>
        <w:numPr>
          <w:ilvl w:val="0"/>
          <w:numId w:val="1004"/>
        </w:numPr>
      </w:pPr>
      <w:r>
        <w:rPr>
          <w:b/>
          <w:bCs/>
        </w:rPr>
        <w:t xml:space="preserve">Balance sheet:</w:t>
      </w:r>
      <w:r>
        <w:t xml:space="preserve"> </w:t>
      </w:r>
      <w:r>
        <w:t xml:space="preserve">Any update on dividend policy, buybacks, or debt reduction pace given the swing in cash generation this year (Q1 saw a cash outflow tied to intentional working-capital build ahead of the price run).</w:t>
      </w:r>
    </w:p>
    <w:bookmarkEnd w:id="14"/>
    <w:bookmarkStart w:id="15" w:name="bottom-line"/>
    <w:p>
      <w:pPr>
        <w:pStyle w:val="Heading2"/>
      </w:pPr>
      <w:r>
        <w:t xml:space="preserve">Bottom Line</w:t>
      </w:r>
    </w:p>
    <w:p>
      <w:pPr>
        <w:pStyle w:val="FirstParagraph"/>
      </w:pPr>
      <w:r>
        <w:t xml:space="preserve">LYB heads into this print riding the same geopolitical-supply-shock narrative that has whipsawed its stock by nearly 90% peak-to-trough and back this year. Management's own Q1 commentary set an aggressive bar — full utilization in the Americas, ~80% in Europe, Bayport restart, and continued PE/PP price gains — and peer prints (Dow beat, Olin missed with weak guidance, Eastman beat) suggest the pricing tailwind is real but the market is starting to question its durability into the back half. With oil markets freshly re-escalating on renewed U.S.-Iran strikes just this week, the tone and forward guidance on tomorrow's call — more than the Q2 numbers themselves — will likely set the stock's near-term direction.</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2026-07-31T00:39:25Z</dcterms:created>
  <dcterms:modified xsi:type="dcterms:W3CDTF">2026-07-31T00:39:25Z</dcterms:modified>
</cp:coreProperties>
</file>

<file path=docProps/custom.xml><?xml version="1.0" encoding="utf-8"?>
<Properties xmlns="http://schemas.openxmlformats.org/officeDocument/2006/custom-properties" xmlns:vt="http://schemas.openxmlformats.org/officeDocument/2006/docPropsVTypes"/>
</file>