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a602b0274dba0aaba38ee43cfa58136cb882d0"/>
    <w:p>
      <w:pPr>
        <w:pStyle w:val="Heading1"/>
      </w:pPr>
      <w:r>
        <w:t xml:space="preserve">LyondellBasell (LYB) — Q2 2026 Earnings Preview</w:t>
      </w:r>
    </w:p>
    <w:p>
      <w:pPr>
        <w:pStyle w:val="BlockText"/>
      </w:pPr>
      <w:r>
        <w:rPr>
          <w:b/>
          <w:bCs/>
        </w:rPr>
        <w:t xml:space="preserve">Timing clarification:</w:t>
      </w:r>
      <w:r>
        <w:t xml:space="preserve"> </w:t>
      </w:r>
      <w:r>
        <w:t xml:space="preserve">LYB is scheduled to report</w:t>
      </w:r>
      <w:r>
        <w:t xml:space="preserve"> </w:t>
      </w:r>
      <w:r>
        <w:rPr>
          <w:b/>
          <w:bCs/>
        </w:rPr>
        <w:t xml:space="preserve">today, Friday, July 31, 2026</w:t>
      </w:r>
      <w:r>
        <w:t xml:space="preserve">, before the U.S. market opens—not tomorrow. The earnings call begins at</w:t>
      </w:r>
      <w:r>
        <w:t xml:space="preserve"> </w:t>
      </w:r>
      <w:r>
        <w:rPr>
          <w:b/>
          <w:bCs/>
        </w:rPr>
        <w:t xml:space="preserve">11:00 a.m. EDT</w:t>
      </w:r>
      <w:r>
        <w:t xml:space="preserve">. (</w:t>
      </w:r>
      <w:hyperlink r:id="rId9">
        <w:r>
          <w:rPr>
            <w:rStyle w:val="Hyperlink"/>
          </w:rPr>
          <w:t xml:space="preserve">investors.lyondellbasell.com</w:t>
        </w:r>
      </w:hyperlink>
      <w:r>
        <w:t xml:space="preserve">)</w:t>
      </w:r>
    </w:p>
    <w:bookmarkStart w:id="11" w:name="investment-setup"/>
    <w:p>
      <w:pPr>
        <w:pStyle w:val="Heading2"/>
      </w:pPr>
      <w:r>
        <w:t xml:space="preserve">Investment setup</w:t>
      </w:r>
    </w:p>
    <w:p>
      <w:pPr>
        <w:pStyle w:val="FirstParagraph"/>
      </w:pPr>
      <w:r>
        <w:t xml:space="preserve">This should be an unusually strong quarter for LYB. The Middle East conflict sharply constrained global petrochemical supply, increased crude-linked product prices and steepened the cost curve in favor of LYB’s ethane-based North American assets.</w:t>
      </w:r>
    </w:p>
    <w:p>
      <w:pPr>
        <w:pStyle w:val="BodyText"/>
      </w:pPr>
      <w:r>
        <w:t xml:space="preserve">The main question is therefore</w:t>
      </w:r>
      <w:r>
        <w:t xml:space="preserve"> </w:t>
      </w:r>
      <w:r>
        <w:rPr>
          <w:b/>
          <w:bCs/>
        </w:rPr>
        <w:t xml:space="preserve">not whether Q2 improved materially</w:t>
      </w:r>
      <w:r>
        <w:t xml:space="preserve"> </w:t>
      </w:r>
      <w:r>
        <w:t xml:space="preserve">from Q1. It is:</w:t>
      </w:r>
    </w:p>
    <w:p>
      <w:pPr>
        <w:pStyle w:val="BlockText"/>
      </w:pPr>
      <w:r>
        <w:rPr>
          <w:b/>
          <w:bCs/>
        </w:rPr>
        <w:t xml:space="preserve">How much of the Q2 windfall survives into Q3 and beyond?</w:t>
      </w:r>
    </w:p>
    <w:p>
      <w:pPr>
        <w:pStyle w:val="FirstParagraph"/>
      </w:pPr>
      <w:r>
        <w:t xml:space="preserve">Visible consensus sources cluster around</w:t>
      </w:r>
      <w:r>
        <w:t xml:space="preserve"> </w:t>
      </w:r>
      <m:oMath>
        <m:r>
          <m:t>3.20</m:t>
        </m:r>
        <m:r>
          <m:rPr>
            <m:sty m:val="p"/>
          </m:rPr>
          <m:t>–</m:t>
        </m:r>
      </m:oMath>
      <w:r>
        <w:rPr>
          <w:b/>
          <w:bCs/>
        </w:rPr>
        <w:t xml:space="preserve">3.60 of adjusted EPS</w:t>
      </w:r>
      <w:r>
        <w:t xml:space="preserve">, with FactSet at approximately</w:t>
      </w:r>
      <w:r>
        <w:t xml:space="preserve"> </w:t>
      </w:r>
      <w:r>
        <w:rPr>
          <w:b/>
          <w:bCs/>
        </w:rPr>
        <w:t xml:space="preserve">$3.44 of EPS and $9.21 billion of revenue</w:t>
      </w:r>
      <w:r>
        <w:t xml:space="preserve">. (</w:t>
      </w:r>
      <w:hyperlink r:id="rId10">
        <w:r>
          <w:rPr>
            <w:rStyle w:val="Hyperlink"/>
          </w:rPr>
          <w:t xml:space="preserve">barchart.com</w:t>
        </w:r>
      </w:hyperlink>
      <w:r>
        <w:t xml:space="preserve">)</w:t>
      </w:r>
    </w:p>
    <w:p>
      <w:pPr>
        <w:pStyle w:val="BodyText"/>
      </w:pPr>
      <w:r>
        <w:t xml:space="preserve">At roughly 323 million diluted shares, the $3.44 estimate implies about $1.1 billion of adjusted net income. Using LYB’s Q1 depreciation, interest and tax profile as a rough bridge suggests the market may be expecting</w:t>
      </w:r>
      <w:r>
        <w:t xml:space="preserve"> </w:t>
      </w:r>
      <w:r>
        <w:rPr>
          <w:b/>
          <w:bCs/>
        </w:rPr>
        <w:t xml:space="preserve">approximately</w:t>
      </w:r>
      <w:r>
        <w:rPr>
          <w:b/>
          <w:bCs/>
        </w:rPr>
        <w:t xml:space="preserve"> </w:t>
      </w:r>
      <m:oMath>
        <m:r>
          <m:t>1.7</m:t>
        </m:r>
        <m:r>
          <m:rPr>
            <m:sty m:val="p"/>
          </m:rPr>
          <m:t>–</m:t>
        </m:r>
      </m:oMath>
      <w:r>
        <w:rPr>
          <w:b/>
          <w:bCs/>
        </w:rPr>
        <w:t xml:space="preserve">1.9 billion of adjusted EBITDA</w:t>
      </w:r>
      <w:r>
        <w:t xml:space="preserve">. That is an inference rather than a published consensus figure, but it illustrates the magnitude of the expected step-up from Q1’s $615 million.</w:t>
      </w:r>
    </w:p>
    <w:bookmarkEnd w:id="11"/>
    <w:bookmarkStart w:id="13" w:name="starting-point-q1-2026"/>
    <w:p>
      <w:pPr>
        <w:pStyle w:val="Heading2"/>
      </w:pPr>
      <w:r>
        <w:t xml:space="preserve">Starting point: Q1 2026</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Q1 2026</w:t>
            </w:r>
          </w:p>
        </w:tc>
      </w:tr>
      <w:tr>
        <w:tc>
          <w:tcPr/>
          <w:p>
            <w:pPr>
              <w:pStyle w:val="Compact"/>
            </w:pPr>
            <w:r>
              <w:t xml:space="preserve">Revenue</w:t>
            </w:r>
          </w:p>
        </w:tc>
        <w:tc>
          <w:tcPr/>
          <w:p>
            <w:pPr>
              <w:pStyle w:val="Compact"/>
              <w:jc w:val="right"/>
            </w:pPr>
            <w:r>
              <w:t xml:space="preserve">$7.20B</w:t>
            </w:r>
          </w:p>
        </w:tc>
      </w:tr>
      <w:tr>
        <w:tc>
          <w:tcPr/>
          <w:p>
            <w:pPr>
              <w:pStyle w:val="Compact"/>
            </w:pPr>
            <w:r>
              <w:t xml:space="preserve">Adjusted EPS</w:t>
            </w:r>
          </w:p>
        </w:tc>
        <w:tc>
          <w:tcPr/>
          <w:p>
            <w:pPr>
              <w:pStyle w:val="Compact"/>
              <w:jc w:val="right"/>
            </w:pPr>
            <w:r>
              <w:t xml:space="preserve">$0.49</w:t>
            </w:r>
          </w:p>
        </w:tc>
      </w:tr>
      <w:tr>
        <w:tc>
          <w:tcPr/>
          <w:p>
            <w:pPr>
              <w:pStyle w:val="Compact"/>
            </w:pPr>
            <w:r>
              <w:t xml:space="preserve">Adjusted EBITDA</w:t>
            </w:r>
          </w:p>
        </w:tc>
        <w:tc>
          <w:tcPr/>
          <w:p>
            <w:pPr>
              <w:pStyle w:val="Compact"/>
              <w:jc w:val="right"/>
            </w:pPr>
            <w:r>
              <w:t xml:space="preserve">$615M</w:t>
            </w:r>
          </w:p>
        </w:tc>
      </w:tr>
      <w:tr>
        <w:tc>
          <w:tcPr/>
          <w:p>
            <w:pPr>
              <w:pStyle w:val="Compact"/>
            </w:pPr>
            <w:r>
              <w:t xml:space="preserve">Operating cash flow</w:t>
            </w:r>
          </w:p>
        </w:tc>
        <w:tc>
          <w:tcPr/>
          <w:p>
            <w:pPr>
              <w:pStyle w:val="Compact"/>
              <w:jc w:val="right"/>
            </w:pPr>
            <w:r>
              <w:t xml:space="preserve">$(269)M</w:t>
            </w:r>
          </w:p>
        </w:tc>
      </w:tr>
      <w:tr>
        <w:tc>
          <w:tcPr/>
          <w:p>
            <w:pPr>
              <w:pStyle w:val="Compact"/>
            </w:pPr>
            <w:r>
              <w:t xml:space="preserve">Cash and equivalents</w:t>
            </w:r>
          </w:p>
        </w:tc>
        <w:tc>
          <w:tcPr/>
          <w:p>
            <w:pPr>
              <w:pStyle w:val="Compact"/>
              <w:jc w:val="right"/>
            </w:pPr>
            <w:r>
              <w:t xml:space="preserve">$2.6B</w:t>
            </w:r>
          </w:p>
        </w:tc>
      </w:tr>
      <w:tr>
        <w:tc>
          <w:tcPr/>
          <w:p>
            <w:pPr>
              <w:pStyle w:val="Compact"/>
            </w:pPr>
            <w:r>
              <w:t xml:space="preserve">Available liquidity</w:t>
            </w:r>
          </w:p>
        </w:tc>
        <w:tc>
          <w:tcPr/>
          <w:p>
            <w:pPr>
              <w:pStyle w:val="Compact"/>
              <w:jc w:val="right"/>
            </w:pPr>
            <w:r>
              <w:t xml:space="preserve">$7.3B</w:t>
            </w:r>
          </w:p>
        </w:tc>
      </w:tr>
    </w:tbl>
    <w:p>
      <w:pPr>
        <w:pStyle w:val="BodyText"/>
      </w:pPr>
      <w:r>
        <w:t xml:space="preserve">Q1 segment EBITDA was led by:</w:t>
      </w:r>
    </w:p>
    <w:p>
      <w:pPr>
        <w:pStyle w:val="Compact"/>
        <w:numPr>
          <w:ilvl w:val="0"/>
          <w:numId w:val="1001"/>
        </w:numPr>
      </w:pPr>
      <w:r>
        <w:rPr>
          <w:b/>
          <w:bCs/>
        </w:rPr>
        <w:t xml:space="preserve">O&amp;P Americas:</w:t>
      </w:r>
      <w:r>
        <w:t xml:space="preserve"> </w:t>
      </w:r>
      <w:r>
        <w:t xml:space="preserve">$327 million</w:t>
      </w:r>
    </w:p>
    <w:p>
      <w:pPr>
        <w:pStyle w:val="Compact"/>
        <w:numPr>
          <w:ilvl w:val="0"/>
          <w:numId w:val="1001"/>
        </w:numPr>
      </w:pPr>
      <w:r>
        <w:rPr>
          <w:b/>
          <w:bCs/>
        </w:rPr>
        <w:t xml:space="preserve">Intermediates &amp; Derivatives:</w:t>
      </w:r>
      <w:r>
        <w:t xml:space="preserve"> </w:t>
      </w:r>
      <w:r>
        <w:t xml:space="preserve">$224 million</w:t>
      </w:r>
    </w:p>
    <w:p>
      <w:pPr>
        <w:pStyle w:val="Compact"/>
        <w:numPr>
          <w:ilvl w:val="0"/>
          <w:numId w:val="1001"/>
        </w:numPr>
      </w:pPr>
      <w:r>
        <w:rPr>
          <w:b/>
          <w:bCs/>
        </w:rPr>
        <w:t xml:space="preserve">Advanced Polymer Solutions:</w:t>
      </w:r>
      <w:r>
        <w:t xml:space="preserve"> </w:t>
      </w:r>
      <w:r>
        <w:t xml:space="preserve">$58 million</w:t>
      </w:r>
    </w:p>
    <w:p>
      <w:pPr>
        <w:pStyle w:val="Compact"/>
        <w:numPr>
          <w:ilvl w:val="0"/>
          <w:numId w:val="1001"/>
        </w:numPr>
      </w:pPr>
      <w:r>
        <w:rPr>
          <w:b/>
          <w:bCs/>
        </w:rPr>
        <w:t xml:space="preserve">Technology:</w:t>
      </w:r>
      <w:r>
        <w:t xml:space="preserve"> </w:t>
      </w:r>
      <w:r>
        <w:t xml:space="preserve">$18 million</w:t>
      </w:r>
    </w:p>
    <w:p>
      <w:pPr>
        <w:pStyle w:val="Compact"/>
        <w:numPr>
          <w:ilvl w:val="0"/>
          <w:numId w:val="1001"/>
        </w:numPr>
      </w:pPr>
      <w:r>
        <w:rPr>
          <w:b/>
          <w:bCs/>
        </w:rPr>
        <w:t xml:space="preserve">O&amp;P Europe/Asia/International:</w:t>
      </w:r>
      <w:r>
        <w:t xml:space="preserve"> </w:t>
      </w:r>
      <w:r>
        <w:t xml:space="preserve">a reported loss, partly reflecting European transaction and impairment charges</w:t>
      </w:r>
    </w:p>
    <w:p>
      <w:pPr>
        <w:pStyle w:val="FirstParagraph"/>
      </w:pPr>
      <w:r>
        <w:t xml:space="preserve">Management entered Q2 expecting substantial improvement in almost every business, higher operating rates, stronger polymer pricing and tighter global supply. (</w:t>
      </w:r>
      <w:hyperlink r:id="rId12">
        <w:r>
          <w:rPr>
            <w:rStyle w:val="Hyperlink"/>
          </w:rPr>
          <w:t xml:space="preserve">investors.lyondellbasell.com</w:t>
        </w:r>
      </w:hyperlink>
      <w:r>
        <w:t xml:space="preserve">)</w:t>
      </w:r>
    </w:p>
    <w:p>
      <w:r>
        <w:pict>
          <v:rect style="width:0;height:1.5pt" o:hralign="center" o:hrstd="t" o:hr="t"/>
        </w:pict>
      </w:r>
    </w:p>
    <w:bookmarkEnd w:id="13"/>
    <w:bookmarkStart w:id="20" w:name="the-five-issues-that-matter-most"/>
    <w:p>
      <w:pPr>
        <w:pStyle w:val="Heading2"/>
      </w:pPr>
      <w:r>
        <w:t xml:space="preserve">The five issues that matter most</w:t>
      </w:r>
    </w:p>
    <w:bookmarkStart w:id="14" w:name="Xaa239372d47662c4d8696e08b0480c7928473c6"/>
    <w:p>
      <w:pPr>
        <w:pStyle w:val="Heading3"/>
      </w:pPr>
      <w:r>
        <w:t xml:space="preserve">1. O&amp;P Americas should produce most of the earnings upside</w:t>
      </w:r>
    </w:p>
    <w:p>
      <w:pPr>
        <w:pStyle w:val="FirstParagraph"/>
      </w:pPr>
      <w:r>
        <w:t xml:space="preserve">This is the centerpiece of the quarter.</w:t>
      </w:r>
    </w:p>
    <w:p>
      <w:pPr>
        <w:pStyle w:val="BodyText"/>
      </w:pPr>
      <w:r>
        <w:t xml:space="preserve">In Q1, O&amp;P Americas generated $327 million of EBITDA at an overall operating rate of approximately 85%. For Q2, management planned to raise utilization to roughly 90% and had announced:</w:t>
      </w:r>
    </w:p>
    <w:p>
      <w:pPr>
        <w:pStyle w:val="Compact"/>
        <w:numPr>
          <w:ilvl w:val="0"/>
          <w:numId w:val="1002"/>
        </w:numPr>
      </w:pPr>
      <w:r>
        <w:t xml:space="preserve">A cumulative</w:t>
      </w:r>
      <w:r>
        <w:t xml:space="preserve"> </w:t>
      </w:r>
      <w:r>
        <w:rPr>
          <w:b/>
          <w:bCs/>
        </w:rPr>
        <w:t xml:space="preserve">$0.50/lb of polyethylene price increases</w:t>
      </w:r>
      <w:r>
        <w:t xml:space="preserve"> </w:t>
      </w:r>
      <w:r>
        <w:t xml:space="preserve">for April and May</w:t>
      </w:r>
    </w:p>
    <w:p>
      <w:pPr>
        <w:pStyle w:val="Compact"/>
        <w:numPr>
          <w:ilvl w:val="0"/>
          <w:numId w:val="1002"/>
        </w:numPr>
      </w:pPr>
      <w:r>
        <w:rPr>
          <w:b/>
          <w:bCs/>
        </w:rPr>
        <w:t xml:space="preserve">$0.10/lb polypropylene spread increases</w:t>
      </w:r>
      <w:r>
        <w:t xml:space="preserve"> </w:t>
      </w:r>
      <w:r>
        <w:t xml:space="preserve">in both months</w:t>
      </w:r>
    </w:p>
    <w:p>
      <w:pPr>
        <w:pStyle w:val="Compact"/>
        <w:numPr>
          <w:ilvl w:val="0"/>
          <w:numId w:val="1002"/>
        </w:numPr>
      </w:pPr>
      <w:r>
        <w:t xml:space="preserve">Higher exports as disrupted Middle Eastern and Asian supply tightened global markets</w:t>
      </w:r>
    </w:p>
    <w:p>
      <w:pPr>
        <w:pStyle w:val="Compact"/>
        <w:numPr>
          <w:ilvl w:val="0"/>
          <w:numId w:val="1002"/>
        </w:numPr>
      </w:pPr>
      <w:r>
        <w:t xml:space="preserve">Continued benefit from relatively inexpensive U.S. ethane feedstock</w:t>
      </w:r>
    </w:p>
    <w:p>
      <w:pPr>
        <w:pStyle w:val="FirstParagraph"/>
      </w:pPr>
      <w:r>
        <w:t xml:space="preserve">The essential earnings questions are:</w:t>
      </w:r>
    </w:p>
    <w:p>
      <w:pPr>
        <w:pStyle w:val="Compact"/>
        <w:numPr>
          <w:ilvl w:val="0"/>
          <w:numId w:val="1003"/>
        </w:numPr>
      </w:pPr>
      <w:r>
        <w:t xml:space="preserve">How much of the announced polyethylene pricing was actually realized?</w:t>
      </w:r>
    </w:p>
    <w:p>
      <w:pPr>
        <w:pStyle w:val="Compact"/>
        <w:numPr>
          <w:ilvl w:val="0"/>
          <w:numId w:val="1003"/>
        </w:numPr>
      </w:pPr>
      <w:r>
        <w:t xml:space="preserve">Did export volumes and operating rates reach management’s targets?</w:t>
      </w:r>
    </w:p>
    <w:p>
      <w:pPr>
        <w:pStyle w:val="Compact"/>
        <w:numPr>
          <w:ilvl w:val="0"/>
          <w:numId w:val="1003"/>
        </w:numPr>
      </w:pPr>
      <w:r>
        <w:t xml:space="preserve">Did polypropylene finally begin contributing meaningful incremental earnings?</w:t>
      </w:r>
    </w:p>
    <w:p>
      <w:pPr>
        <w:pStyle w:val="Compact"/>
        <w:numPr>
          <w:ilvl w:val="0"/>
          <w:numId w:val="1003"/>
        </w:numPr>
      </w:pPr>
      <w:r>
        <w:t xml:space="preserve">How much pricing was surrendered in June?</w:t>
      </w:r>
    </w:p>
    <w:p>
      <w:pPr>
        <w:pStyle w:val="FirstParagraph"/>
      </w:pPr>
      <w:r>
        <w:t xml:space="preserve">Polypropylene was described as a potential “sleeping giant” because global supply disruptions were more severe than in polyethylene while LYB had meaningful unused operating capacity. Any evidence that PP profitability materially inflected would improve the quality of the beat.</w:t>
      </w:r>
    </w:p>
    <w:bookmarkEnd w:id="14"/>
    <w:bookmarkStart w:id="16" w:name="X55169ade3250e249cdd9d48e49a320544e9a91a"/>
    <w:p>
      <w:pPr>
        <w:pStyle w:val="Heading3"/>
      </w:pPr>
      <w:r>
        <w:t xml:space="preserve">2. Strong Q2 results may be followed by a sequential decline</w:t>
      </w:r>
    </w:p>
    <w:p>
      <w:pPr>
        <w:pStyle w:val="FirstParagraph"/>
      </w:pPr>
      <w:r>
        <w:t xml:space="preserve">Dow’s report provides the clearest peer read-through. Dow generated</w:t>
      </w:r>
      <w:r>
        <w:t xml:space="preserve"> </w:t>
      </w:r>
      <w:r>
        <w:rPr>
          <w:b/>
          <w:bCs/>
        </w:rPr>
        <w:t xml:space="preserve">$2.31 billion of Q2 operating EBITDA</w:t>
      </w:r>
      <w:r>
        <w:t xml:space="preserve">, versus $873 million in Q1, with higher polyethylene prices driving substantial margin expansion. But it guided to approximately $1.7 billion for Q3, citing the June North American polyethylene price decline, seasonality and maintenance. (</w:t>
      </w:r>
      <w:hyperlink r:id="rId15">
        <w:r>
          <w:rPr>
            <w:rStyle w:val="Hyperlink"/>
          </w:rPr>
          <w:t xml:space="preserve">investors.dow.com</w:t>
        </w:r>
      </w:hyperlink>
      <w:r>
        <w:t xml:space="preserve">)</w:t>
      </w:r>
    </w:p>
    <w:p>
      <w:pPr>
        <w:pStyle w:val="BodyText"/>
      </w:pPr>
      <w:r>
        <w:t xml:space="preserve">That read-through is simultaneously positive and cautionary for LYB:</w:t>
      </w:r>
    </w:p>
    <w:p>
      <w:pPr>
        <w:pStyle w:val="Compact"/>
        <w:numPr>
          <w:ilvl w:val="0"/>
          <w:numId w:val="1004"/>
        </w:numPr>
      </w:pPr>
      <w:r>
        <w:rPr>
          <w:b/>
          <w:bCs/>
        </w:rPr>
        <w:t xml:space="preserve">Positive:</w:t>
      </w:r>
      <w:r>
        <w:t xml:space="preserve"> </w:t>
      </w:r>
      <w:r>
        <w:t xml:space="preserve">It validates the magnitude of the Q2 petrochemical earnings recovery.</w:t>
      </w:r>
    </w:p>
    <w:p>
      <w:pPr>
        <w:pStyle w:val="Compact"/>
        <w:numPr>
          <w:ilvl w:val="0"/>
          <w:numId w:val="1004"/>
        </w:numPr>
      </w:pPr>
      <w:r>
        <w:rPr>
          <w:b/>
          <w:bCs/>
        </w:rPr>
        <w:t xml:space="preserve">Cautionary:</w:t>
      </w:r>
      <w:r>
        <w:t xml:space="preserve"> </w:t>
      </w:r>
      <w:r>
        <w:t xml:space="preserve">It indicates that Q2 may represent a near-term high-water mark unless renewed crude and logistics disruptions support another round of polymer price increases.</w:t>
      </w:r>
    </w:p>
    <w:p>
      <w:pPr>
        <w:pStyle w:val="FirstParagraph"/>
      </w:pPr>
      <w:r>
        <w:t xml:space="preserve">A large headline beat accompanied by weak Q3 commentary could therefore be received poorly. Conversely, results merely around consensus could still work if management argues that Q3 EBITDA will remain resilient.</w:t>
      </w:r>
    </w:p>
    <w:bookmarkEnd w:id="16"/>
    <w:bookmarkStart w:id="17" w:name="X8c38046ab75ab7a0cef0e727b3d3069a1a9d0f5"/>
    <w:p>
      <w:pPr>
        <w:pStyle w:val="Heading3"/>
      </w:pPr>
      <w:r>
        <w:t xml:space="preserve">3. Bayport PO/TBA downtime is the largest company-specific swing factor</w:t>
      </w:r>
    </w:p>
    <w:p>
      <w:pPr>
        <w:pStyle w:val="FirstParagraph"/>
      </w:pPr>
      <w:r>
        <w:t xml:space="preserve">LYB’s Bayport PO/TBA facility was down beginning in March. Management previously estimated the earnings cost at approximately</w:t>
      </w:r>
      <w:r>
        <w:t xml:space="preserve"> </w:t>
      </w:r>
      <w:r>
        <w:rPr>
          <w:b/>
          <w:bCs/>
        </w:rPr>
        <w:t xml:space="preserve">$25 million per week</w:t>
      </w:r>
      <w:r>
        <w:t xml:space="preserve"> </w:t>
      </w:r>
      <w:r>
        <w:t xml:space="preserve">and expected the plant to restart near the end of Q2.</w:t>
      </w:r>
    </w:p>
    <w:p>
      <w:pPr>
        <w:pStyle w:val="BodyText"/>
      </w:pPr>
      <w:r>
        <w:t xml:space="preserve">This creates a potentially wide outcome range:</w:t>
      </w:r>
    </w:p>
    <w:p>
      <w:pPr>
        <w:pStyle w:val="Compact"/>
        <w:numPr>
          <w:ilvl w:val="0"/>
          <w:numId w:val="1005"/>
        </w:numPr>
      </w:pPr>
      <w:r>
        <w:t xml:space="preserve">A restart on schedule would support a major improvement in Q3 I&amp;D earnings.</w:t>
      </w:r>
    </w:p>
    <w:p>
      <w:pPr>
        <w:pStyle w:val="Compact"/>
        <w:numPr>
          <w:ilvl w:val="0"/>
          <w:numId w:val="1005"/>
        </w:numPr>
      </w:pPr>
      <w:r>
        <w:t xml:space="preserve">A prolonged outage would have reduced Q2 EBITDA and weaken the Q3 bridge.</w:t>
      </w:r>
    </w:p>
    <w:p>
      <w:pPr>
        <w:pStyle w:val="Compact"/>
        <w:numPr>
          <w:ilvl w:val="0"/>
          <w:numId w:val="1005"/>
        </w:numPr>
      </w:pPr>
      <w:r>
        <w:t xml:space="preserve">Even four additional weeks of downtime would represent roughly a</w:t>
      </w:r>
      <w:r>
        <w:t xml:space="preserve"> </w:t>
      </w:r>
      <w:r>
        <w:rPr>
          <w:b/>
          <w:bCs/>
        </w:rPr>
        <w:t xml:space="preserve">$100 million</w:t>
      </w:r>
      <w:r>
        <w:t xml:space="preserve"> </w:t>
      </w:r>
      <w:r>
        <w:t xml:space="preserve">EBITDA headwind under management’s rule of thumb.</w:t>
      </w:r>
    </w:p>
    <w:p>
      <w:pPr>
        <w:pStyle w:val="FirstParagraph"/>
      </w:pPr>
      <w:r>
        <w:t xml:space="preserve">Investors should look for:</w:t>
      </w:r>
    </w:p>
    <w:p>
      <w:pPr>
        <w:pStyle w:val="Compact"/>
        <w:numPr>
          <w:ilvl w:val="0"/>
          <w:numId w:val="1006"/>
        </w:numPr>
      </w:pPr>
      <w:r>
        <w:t xml:space="preserve">The exact restart date</w:t>
      </w:r>
    </w:p>
    <w:p>
      <w:pPr>
        <w:pStyle w:val="Compact"/>
        <w:numPr>
          <w:ilvl w:val="0"/>
          <w:numId w:val="1006"/>
        </w:numPr>
      </w:pPr>
      <w:r>
        <w:t xml:space="preserve">Current operating rate and reliability</w:t>
      </w:r>
    </w:p>
    <w:p>
      <w:pPr>
        <w:pStyle w:val="Compact"/>
        <w:numPr>
          <w:ilvl w:val="0"/>
          <w:numId w:val="1006"/>
        </w:numPr>
      </w:pPr>
      <w:r>
        <w:t xml:space="preserve">Whether lost production or customer obligations create lingering Q3 costs</w:t>
      </w:r>
    </w:p>
    <w:p>
      <w:pPr>
        <w:pStyle w:val="Compact"/>
        <w:numPr>
          <w:ilvl w:val="0"/>
          <w:numId w:val="1006"/>
        </w:numPr>
      </w:pPr>
      <w:r>
        <w:t xml:space="preserve">Guidance for I&amp;D utilization after the restart</w:t>
      </w:r>
    </w:p>
    <w:p>
      <w:pPr>
        <w:pStyle w:val="FirstParagraph"/>
      </w:pPr>
      <w:r>
        <w:t xml:space="preserve">Oxyfuels should otherwise have benefited from stronger seasonal demand, elevated crude prices and favorable U.S. margins. Methanol and acetyls were also expected to improve following the restart of La Porte operations.</w:t>
      </w:r>
    </w:p>
    <w:bookmarkEnd w:id="17"/>
    <w:bookmarkStart w:id="18" w:name="X25fd529f43ce72300b404db456893710f3d322f"/>
    <w:p>
      <w:pPr>
        <w:pStyle w:val="Heading3"/>
      </w:pPr>
      <w:r>
        <w:t xml:space="preserve">4. GAAP results will be noisy because of the European asset sale</w:t>
      </w:r>
    </w:p>
    <w:p>
      <w:pPr>
        <w:pStyle w:val="FirstParagraph"/>
      </w:pPr>
      <w:r>
        <w:t xml:space="preserve">LYB completed the sale of four European O&amp;P sites on May 1. The transaction improves the remaining portfolio by removing higher-cost capacity, fixed costs and capital requirements, but the company expected to record a substantial accounting loss and made an approximately $300 million cash contribution to the divested businesses before closing.</w:t>
      </w:r>
    </w:p>
    <w:p>
      <w:pPr>
        <w:pStyle w:val="BodyText"/>
      </w:pPr>
      <w:r>
        <w:t xml:space="preserve">Investors should therefore focus on:</w:t>
      </w:r>
    </w:p>
    <w:p>
      <w:pPr>
        <w:pStyle w:val="Compact"/>
        <w:numPr>
          <w:ilvl w:val="0"/>
          <w:numId w:val="1007"/>
        </w:numPr>
      </w:pPr>
      <w:r>
        <w:rPr>
          <w:b/>
          <w:bCs/>
        </w:rPr>
        <w:t xml:space="preserve">Adjusted EBITDA and adjusted EPS</w:t>
      </w:r>
    </w:p>
    <w:p>
      <w:pPr>
        <w:pStyle w:val="Compact"/>
        <w:numPr>
          <w:ilvl w:val="0"/>
          <w:numId w:val="1007"/>
        </w:numPr>
      </w:pPr>
      <w:r>
        <w:t xml:space="preserve">The ongoing earnings of the retained European portfolio</w:t>
      </w:r>
    </w:p>
    <w:p>
      <w:pPr>
        <w:pStyle w:val="Compact"/>
        <w:numPr>
          <w:ilvl w:val="0"/>
          <w:numId w:val="1007"/>
        </w:numPr>
      </w:pPr>
      <w:r>
        <w:t xml:space="preserve">Cash costs associated with the transaction</w:t>
      </w:r>
    </w:p>
    <w:p>
      <w:pPr>
        <w:pStyle w:val="Compact"/>
        <w:numPr>
          <w:ilvl w:val="0"/>
          <w:numId w:val="1007"/>
        </w:numPr>
      </w:pPr>
      <w:r>
        <w:t xml:space="preserve">Fixed-cost and capital-expenditure savings</w:t>
      </w:r>
    </w:p>
    <w:p>
      <w:pPr>
        <w:pStyle w:val="Compact"/>
        <w:numPr>
          <w:ilvl w:val="0"/>
          <w:numId w:val="1007"/>
        </w:numPr>
      </w:pPr>
      <w:r>
        <w:t xml:space="preserve">Any remaining separation liabilities or transition agreements</w:t>
      </w:r>
    </w:p>
    <w:p>
      <w:pPr>
        <w:pStyle w:val="FirstParagraph"/>
      </w:pPr>
      <w:r>
        <w:t xml:space="preserve">The retained European business should have benefited from reduced imports and better polymer spreads, although higher naphtha and energy costs remain an important offset.</w:t>
      </w:r>
    </w:p>
    <w:bookmarkEnd w:id="18"/>
    <w:bookmarkStart w:id="19" w:name="X2ff40a94f550a112dbfa8bd9633eb66dfb78c24"/>
    <w:p>
      <w:pPr>
        <w:pStyle w:val="Heading3"/>
      </w:pPr>
      <w:r>
        <w:t xml:space="preserve">5. Cash flow matters nearly as much as earnings</w:t>
      </w:r>
    </w:p>
    <w:p>
      <w:pPr>
        <w:pStyle w:val="FirstParagraph"/>
      </w:pPr>
      <w:r>
        <w:t xml:space="preserve">LYB entered 2026 with balance-sheet repair as a priority. At the end of Q1, it had approximately:</w:t>
      </w:r>
    </w:p>
    <w:p>
      <w:pPr>
        <w:pStyle w:val="Compact"/>
        <w:numPr>
          <w:ilvl w:val="0"/>
          <w:numId w:val="1008"/>
        </w:numPr>
      </w:pPr>
      <w:r>
        <w:rPr>
          <w:b/>
          <w:bCs/>
        </w:rPr>
        <w:t xml:space="preserve">$2.6 billion of cash</w:t>
      </w:r>
    </w:p>
    <w:p>
      <w:pPr>
        <w:pStyle w:val="Compact"/>
        <w:numPr>
          <w:ilvl w:val="0"/>
          <w:numId w:val="1008"/>
        </w:numPr>
      </w:pPr>
      <w:r>
        <w:rPr>
          <w:b/>
          <w:bCs/>
        </w:rPr>
        <w:t xml:space="preserve">$12.9 billion of total debt</w:t>
      </w:r>
    </w:p>
    <w:p>
      <w:pPr>
        <w:pStyle w:val="Compact"/>
        <w:numPr>
          <w:ilvl w:val="0"/>
          <w:numId w:val="1008"/>
        </w:numPr>
      </w:pPr>
      <w:r>
        <w:rPr>
          <w:b/>
          <w:bCs/>
        </w:rPr>
        <w:t xml:space="preserve">$1.47 billion of current debt maturities</w:t>
      </w:r>
    </w:p>
    <w:p>
      <w:pPr>
        <w:pStyle w:val="Compact"/>
        <w:numPr>
          <w:ilvl w:val="0"/>
          <w:numId w:val="1008"/>
        </w:numPr>
      </w:pPr>
      <w:r>
        <w:rPr>
          <w:b/>
          <w:bCs/>
        </w:rPr>
        <w:t xml:space="preserve">$7.3 billion of liquidity</w:t>
      </w:r>
    </w:p>
    <w:p>
      <w:pPr>
        <w:pStyle w:val="FirstParagraph"/>
      </w:pPr>
      <w:r>
        <w:t xml:space="preserve">The company also reduced its quarterly dividend by 50% earlier this year and suspended discretionary repurchases, underscoring the importance of cash preservation.</w:t>
      </w:r>
    </w:p>
    <w:p>
      <w:pPr>
        <w:pStyle w:val="BodyText"/>
      </w:pPr>
      <w:r>
        <w:t xml:space="preserve">Q2 cash flow may look much weaker than EBITDA because management intentionally increased production and working capital to serve higher-priced demand. Rising receivables and inventory can consume considerable cash when both selling prices and operating rates rise.</w:t>
      </w:r>
    </w:p>
    <w:p>
      <w:pPr>
        <w:pStyle w:val="BodyText"/>
      </w:pPr>
      <w:r>
        <w:t xml:space="preserve">The best outcome would be:</w:t>
      </w:r>
    </w:p>
    <w:p>
      <w:pPr>
        <w:pStyle w:val="Compact"/>
        <w:numPr>
          <w:ilvl w:val="0"/>
          <w:numId w:val="1009"/>
        </w:numPr>
      </w:pPr>
      <w:r>
        <w:t xml:space="preserve">Strong EBITDA</w:t>
      </w:r>
    </w:p>
    <w:p>
      <w:pPr>
        <w:pStyle w:val="Compact"/>
        <w:numPr>
          <w:ilvl w:val="0"/>
          <w:numId w:val="1009"/>
        </w:numPr>
      </w:pPr>
      <w:r>
        <w:t xml:space="preserve">A manageable working-capital build</w:t>
      </w:r>
    </w:p>
    <w:p>
      <w:pPr>
        <w:pStyle w:val="Compact"/>
        <w:numPr>
          <w:ilvl w:val="0"/>
          <w:numId w:val="1009"/>
        </w:numPr>
      </w:pPr>
      <w:r>
        <w:t xml:space="preserve">Reaffirmation of the</w:t>
      </w:r>
      <w:r>
        <w:t xml:space="preserve"> </w:t>
      </w:r>
      <w:r>
        <w:rPr>
          <w:b/>
          <w:bCs/>
        </w:rPr>
        <w:t xml:space="preserve">$500 million 2026 incremental cash-improvement target</w:t>
      </w:r>
    </w:p>
    <w:p>
      <w:pPr>
        <w:pStyle w:val="Compact"/>
        <w:numPr>
          <w:ilvl w:val="0"/>
          <w:numId w:val="1009"/>
        </w:numPr>
      </w:pPr>
      <w:r>
        <w:t xml:space="preserve">Confidence that second-half working-capital normalization will support debt reduction</w:t>
      </w:r>
    </w:p>
    <w:p>
      <w:pPr>
        <w:pStyle w:val="FirstParagraph"/>
      </w:pPr>
      <w:r>
        <w:t xml:space="preserve">A major EBITDA beat without corresponding confidence in full-year free cash flow would be less valuable.</w:t>
      </w:r>
    </w:p>
    <w:p>
      <w:r>
        <w:pict>
          <v:rect style="width:0;height:1.5pt" o:hralign="center" o:hrstd="t" o:hr="t"/>
        </w:pict>
      </w:r>
    </w:p>
    <w:bookmarkEnd w:id="19"/>
    <w:bookmarkEnd w:id="20"/>
    <w:bookmarkStart w:id="23" w:name="smaller-segments-to-watch"/>
    <w:p>
      <w:pPr>
        <w:pStyle w:val="Heading2"/>
      </w:pPr>
      <w:r>
        <w:t xml:space="preserve">Smaller segments to watch</w:t>
      </w:r>
    </w:p>
    <w:bookmarkStart w:id="21" w:name="advanced-polymer-solutions"/>
    <w:p>
      <w:pPr>
        <w:pStyle w:val="Heading3"/>
      </w:pPr>
      <w:r>
        <w:t xml:space="preserve">Advanced Polymer Solutions</w:t>
      </w:r>
    </w:p>
    <w:p>
      <w:pPr>
        <w:pStyle w:val="FirstParagraph"/>
      </w:pPr>
      <w:r>
        <w:t xml:space="preserve">APS entered Q2 with stronger demand but a temporary margin squeeze because higher polymer and logistics costs were passing through faster than contractual pricing resets.</w:t>
      </w:r>
    </w:p>
    <w:p>
      <w:pPr>
        <w:pStyle w:val="BodyText"/>
      </w:pPr>
      <w:r>
        <w:t xml:space="preserve">Investors should look for evidence that:</w:t>
      </w:r>
    </w:p>
    <w:p>
      <w:pPr>
        <w:pStyle w:val="Compact"/>
        <w:numPr>
          <w:ilvl w:val="0"/>
          <w:numId w:val="1010"/>
        </w:numPr>
      </w:pPr>
      <w:r>
        <w:t xml:space="preserve">Customer price increases caught up with raw-material inflation</w:t>
      </w:r>
    </w:p>
    <w:p>
      <w:pPr>
        <w:pStyle w:val="Compact"/>
        <w:numPr>
          <w:ilvl w:val="0"/>
          <w:numId w:val="1010"/>
        </w:numPr>
      </w:pPr>
      <w:r>
        <w:t xml:space="preserve">Packaging and nondurable demand remained healthy</w:t>
      </w:r>
    </w:p>
    <w:p>
      <w:pPr>
        <w:pStyle w:val="Compact"/>
        <w:numPr>
          <w:ilvl w:val="0"/>
          <w:numId w:val="1010"/>
        </w:numPr>
      </w:pPr>
      <w:r>
        <w:t xml:space="preserve">Weak automotive and durable-goods markets did not overwhelm self-help gains</w:t>
      </w:r>
    </w:p>
    <w:bookmarkEnd w:id="21"/>
    <w:bookmarkStart w:id="22" w:name="technology"/>
    <w:p>
      <w:pPr>
        <w:pStyle w:val="Heading3"/>
      </w:pPr>
      <w:r>
        <w:t xml:space="preserve">Technology</w:t>
      </w:r>
    </w:p>
    <w:p>
      <w:pPr>
        <w:pStyle w:val="FirstParagraph"/>
      </w:pPr>
      <w:r>
        <w:t xml:space="preserve">Technology EBITDA fell to only $18 million in Q1 because of weak licensing activity and delayed catalyst shipments. Management expected Q2 results to improve toward, but remain slightly below, Q4 2025’s $80 million.</w:t>
      </w:r>
    </w:p>
    <w:p>
      <w:pPr>
        <w:pStyle w:val="BodyText"/>
      </w:pPr>
      <w:r>
        <w:t xml:space="preserve">A recovery into the</w:t>
      </w:r>
      <w:r>
        <w:t xml:space="preserve"> </w:t>
      </w:r>
      <m:oMath>
        <m:r>
          <m:t>60</m:t>
        </m:r>
        <m:r>
          <m:rPr>
            <m:sty m:val="p"/>
          </m:rPr>
          <m:t>–</m:t>
        </m:r>
      </m:oMath>
      <w:r>
        <w:t xml:space="preserve">75 million area would be helpful, although this segment will not determine the stock reaction.</w:t>
      </w:r>
    </w:p>
    <w:p>
      <w:r>
        <w:pict>
          <v:rect style="width:0;height:1.5pt" o:hralign="center" o:hrstd="t" o:hr="t"/>
        </w:pict>
      </w:r>
    </w:p>
    <w:bookmarkEnd w:id="22"/>
    <w:bookmarkEnd w:id="23"/>
    <w:bookmarkStart w:id="27" w:name="what-would-constitute-a-good-report"/>
    <w:p>
      <w:pPr>
        <w:pStyle w:val="Heading2"/>
      </w:pPr>
      <w:r>
        <w:t xml:space="preserve">What would constitute a good report?</w:t>
      </w:r>
    </w:p>
    <w:bookmarkStart w:id="24" w:name="bullish-outcome"/>
    <w:p>
      <w:pPr>
        <w:pStyle w:val="Heading3"/>
      </w:pPr>
      <w:r>
        <w:t xml:space="preserve">Bullish outcome</w:t>
      </w:r>
    </w:p>
    <w:p>
      <w:pPr>
        <w:pStyle w:val="Compact"/>
        <w:numPr>
          <w:ilvl w:val="0"/>
          <w:numId w:val="1011"/>
        </w:numPr>
      </w:pPr>
      <w:r>
        <w:t xml:space="preserve">Adjusted EPS above the roughly</w:t>
      </w:r>
      <w:r>
        <w:t xml:space="preserve"> </w:t>
      </w:r>
      <m:oMath>
        <m:r>
          <m:t>3.2</m:t>
        </m:r>
        <m:r>
          <m:rPr>
            <m:sty m:val="p"/>
          </m:rPr>
          <m:t>–</m:t>
        </m:r>
      </m:oMath>
      <w:r>
        <w:t xml:space="preserve">3.6 consensus range</w:t>
      </w:r>
    </w:p>
    <w:p>
      <w:pPr>
        <w:pStyle w:val="Compact"/>
        <w:numPr>
          <w:ilvl w:val="0"/>
          <w:numId w:val="1011"/>
        </w:numPr>
      </w:pPr>
      <w:r>
        <w:t xml:space="preserve">Adjusted EBITDA around or above $1.8 billion</w:t>
      </w:r>
    </w:p>
    <w:p>
      <w:pPr>
        <w:pStyle w:val="Compact"/>
        <w:numPr>
          <w:ilvl w:val="0"/>
          <w:numId w:val="1011"/>
        </w:numPr>
      </w:pPr>
      <w:r>
        <w:t xml:space="preserve">O&amp;P Americas EBITDA demonstrates strong PE and PP operating leverage</w:t>
      </w:r>
    </w:p>
    <w:p>
      <w:pPr>
        <w:pStyle w:val="Compact"/>
        <w:numPr>
          <w:ilvl w:val="0"/>
          <w:numId w:val="1011"/>
        </w:numPr>
      </w:pPr>
      <w:r>
        <w:t xml:space="preserve">Bayport restarted and is operating reliably</w:t>
      </w:r>
    </w:p>
    <w:p>
      <w:pPr>
        <w:pStyle w:val="Compact"/>
        <w:numPr>
          <w:ilvl w:val="0"/>
          <w:numId w:val="1011"/>
        </w:numPr>
      </w:pPr>
      <w:r>
        <w:t xml:space="preserve">Positive retained-European O&amp;P EBITDA</w:t>
      </w:r>
    </w:p>
    <w:p>
      <w:pPr>
        <w:pStyle w:val="Compact"/>
        <w:numPr>
          <w:ilvl w:val="0"/>
          <w:numId w:val="1011"/>
        </w:numPr>
      </w:pPr>
      <w:r>
        <w:t xml:space="preserve">Q3 EBITDA remains resilient despite the June PE price decline</w:t>
      </w:r>
    </w:p>
    <w:p>
      <w:pPr>
        <w:pStyle w:val="Compact"/>
        <w:numPr>
          <w:ilvl w:val="0"/>
          <w:numId w:val="1011"/>
        </w:numPr>
      </w:pPr>
      <w:r>
        <w:t xml:space="preserve">Full-year cash-improvement and capital-spending plans are reaffirmed</w:t>
      </w:r>
    </w:p>
    <w:p>
      <w:pPr>
        <w:pStyle w:val="Compact"/>
        <w:numPr>
          <w:ilvl w:val="0"/>
          <w:numId w:val="1011"/>
        </w:numPr>
      </w:pPr>
      <w:r>
        <w:t xml:space="preserve">Management sees supply disruptions and elevated crude-linked pricing lasting well beyond Q3</w:t>
      </w:r>
    </w:p>
    <w:bookmarkEnd w:id="24"/>
    <w:bookmarkStart w:id="25" w:name="mixed-outcome"/>
    <w:p>
      <w:pPr>
        <w:pStyle w:val="Heading3"/>
      </w:pPr>
      <w:r>
        <w:t xml:space="preserve">Mixed outcome</w:t>
      </w:r>
    </w:p>
    <w:p>
      <w:pPr>
        <w:pStyle w:val="Compact"/>
        <w:numPr>
          <w:ilvl w:val="0"/>
          <w:numId w:val="1012"/>
        </w:numPr>
      </w:pPr>
      <w:r>
        <w:t xml:space="preserve">Large Q2 beat, but most of it is characterized as temporary</w:t>
      </w:r>
    </w:p>
    <w:p>
      <w:pPr>
        <w:pStyle w:val="Compact"/>
        <w:numPr>
          <w:ilvl w:val="0"/>
          <w:numId w:val="1012"/>
        </w:numPr>
      </w:pPr>
      <w:r>
        <w:t xml:space="preserve">Q3 EBITDA falls sharply because of lower PE pricing</w:t>
      </w:r>
    </w:p>
    <w:p>
      <w:pPr>
        <w:pStyle w:val="Compact"/>
        <w:numPr>
          <w:ilvl w:val="0"/>
          <w:numId w:val="1012"/>
        </w:numPr>
      </w:pPr>
      <w:r>
        <w:t xml:space="preserve">Bayport restart occurred late in the quarter</w:t>
      </w:r>
    </w:p>
    <w:p>
      <w:pPr>
        <w:pStyle w:val="Compact"/>
        <w:numPr>
          <w:ilvl w:val="0"/>
          <w:numId w:val="1012"/>
        </w:numPr>
      </w:pPr>
      <w:r>
        <w:t xml:space="preserve">Working-capital consumption remains elevated</w:t>
      </w:r>
    </w:p>
    <w:p>
      <w:pPr>
        <w:pStyle w:val="Compact"/>
        <w:numPr>
          <w:ilvl w:val="0"/>
          <w:numId w:val="1012"/>
        </w:numPr>
      </w:pPr>
      <w:r>
        <w:t xml:space="preserve">Management avoids providing a clear cash-flow bridge</w:t>
      </w:r>
    </w:p>
    <w:bookmarkEnd w:id="25"/>
    <w:bookmarkStart w:id="26" w:name="bearish-outcome"/>
    <w:p>
      <w:pPr>
        <w:pStyle w:val="Heading3"/>
      </w:pPr>
      <w:r>
        <w:t xml:space="preserve">Bearish outcome</w:t>
      </w:r>
    </w:p>
    <w:p>
      <w:pPr>
        <w:pStyle w:val="Compact"/>
        <w:numPr>
          <w:ilvl w:val="0"/>
          <w:numId w:val="1013"/>
        </w:numPr>
      </w:pPr>
      <w:r>
        <w:t xml:space="preserve">Adjusted EPS below $3.20 despite favorable industry conditions</w:t>
      </w:r>
    </w:p>
    <w:p>
      <w:pPr>
        <w:pStyle w:val="Compact"/>
        <w:numPr>
          <w:ilvl w:val="0"/>
          <w:numId w:val="1013"/>
        </w:numPr>
      </w:pPr>
      <w:r>
        <w:t xml:space="preserve">O&amp;P Americas misses because of weak price realization or operational issues</w:t>
      </w:r>
    </w:p>
    <w:p>
      <w:pPr>
        <w:pStyle w:val="Compact"/>
        <w:numPr>
          <w:ilvl w:val="0"/>
          <w:numId w:val="1013"/>
        </w:numPr>
      </w:pPr>
      <w:r>
        <w:t xml:space="preserve">Bayport remains constrained</w:t>
      </w:r>
    </w:p>
    <w:p>
      <w:pPr>
        <w:pStyle w:val="Compact"/>
        <w:numPr>
          <w:ilvl w:val="0"/>
          <w:numId w:val="1013"/>
        </w:numPr>
      </w:pPr>
      <w:r>
        <w:t xml:space="preserve">Q3 guidance implies a rapid normalization toward pre-conflict earnings</w:t>
      </w:r>
    </w:p>
    <w:p>
      <w:pPr>
        <w:pStyle w:val="Compact"/>
        <w:numPr>
          <w:ilvl w:val="0"/>
          <w:numId w:val="1013"/>
        </w:numPr>
      </w:pPr>
      <w:r>
        <w:t xml:space="preserve">European transaction cash costs exceed expectations</w:t>
      </w:r>
    </w:p>
    <w:p>
      <w:pPr>
        <w:pStyle w:val="Compact"/>
        <w:numPr>
          <w:ilvl w:val="0"/>
          <w:numId w:val="1013"/>
        </w:numPr>
      </w:pPr>
      <w:r>
        <w:t xml:space="preserve">Debt reduction or free-cash-flow targets are pushed out</w:t>
      </w:r>
    </w:p>
    <w:p>
      <w:r>
        <w:pict>
          <v:rect style="width:0;height:1.5pt" o:hralign="center" o:hrstd="t" o:hr="t"/>
        </w:pict>
      </w:r>
    </w:p>
    <w:bookmarkEnd w:id="26"/>
    <w:bookmarkEnd w:id="27"/>
    <w:bookmarkStart w:id="28" w:name="questions-management-needs-to-answer"/>
    <w:p>
      <w:pPr>
        <w:pStyle w:val="Heading2"/>
      </w:pPr>
      <w:r>
        <w:t xml:space="preserve">Questions management needs to answer</w:t>
      </w:r>
    </w:p>
    <w:p>
      <w:pPr>
        <w:pStyle w:val="Compact"/>
        <w:numPr>
          <w:ilvl w:val="0"/>
          <w:numId w:val="1014"/>
        </w:numPr>
      </w:pPr>
      <w:r>
        <w:rPr>
          <w:b/>
          <w:bCs/>
        </w:rPr>
        <w:t xml:space="preserve">What was the average realized Q2 polyethylene price increase in North America?</w:t>
      </w:r>
    </w:p>
    <w:p>
      <w:pPr>
        <w:pStyle w:val="Compact"/>
        <w:numPr>
          <w:ilvl w:val="0"/>
          <w:numId w:val="1014"/>
        </w:numPr>
      </w:pPr>
      <w:r>
        <w:rPr>
          <w:b/>
          <w:bCs/>
        </w:rPr>
        <w:t xml:space="preserve">How should investors bridge O&amp;P Americas EBITDA from Q2 into Q3?</w:t>
      </w:r>
    </w:p>
    <w:p>
      <w:pPr>
        <w:pStyle w:val="Compact"/>
        <w:numPr>
          <w:ilvl w:val="0"/>
          <w:numId w:val="1014"/>
        </w:numPr>
      </w:pPr>
      <w:r>
        <w:rPr>
          <w:b/>
          <w:bCs/>
        </w:rPr>
        <w:t xml:space="preserve">Did polypropylene spreads and operating rates improve as expected?</w:t>
      </w:r>
    </w:p>
    <w:p>
      <w:pPr>
        <w:pStyle w:val="Compact"/>
        <w:numPr>
          <w:ilvl w:val="0"/>
          <w:numId w:val="1014"/>
        </w:numPr>
      </w:pPr>
      <w:r>
        <w:rPr>
          <w:b/>
          <w:bCs/>
        </w:rPr>
        <w:t xml:space="preserve">When did Bayport restart, and what is its current operating rate?</w:t>
      </w:r>
    </w:p>
    <w:p>
      <w:pPr>
        <w:pStyle w:val="Compact"/>
        <w:numPr>
          <w:ilvl w:val="0"/>
          <w:numId w:val="1014"/>
        </w:numPr>
      </w:pPr>
      <w:r>
        <w:rPr>
          <w:b/>
          <w:bCs/>
        </w:rPr>
        <w:t xml:space="preserve">What is the expected Q3 I&amp;D EBITDA benefit from having Bayport available?</w:t>
      </w:r>
    </w:p>
    <w:p>
      <w:pPr>
        <w:pStyle w:val="Compact"/>
        <w:numPr>
          <w:ilvl w:val="0"/>
          <w:numId w:val="1014"/>
        </w:numPr>
      </w:pPr>
      <w:r>
        <w:rPr>
          <w:b/>
          <w:bCs/>
        </w:rPr>
        <w:t xml:space="preserve">How much cash did the European divestiture consume in Q2?</w:t>
      </w:r>
    </w:p>
    <w:p>
      <w:pPr>
        <w:pStyle w:val="Compact"/>
        <w:numPr>
          <w:ilvl w:val="0"/>
          <w:numId w:val="1014"/>
        </w:numPr>
      </w:pPr>
      <w:r>
        <w:rPr>
          <w:b/>
          <w:bCs/>
        </w:rPr>
        <w:t xml:space="preserve">How much working capital should reverse during the second half?</w:t>
      </w:r>
    </w:p>
    <w:p>
      <w:pPr>
        <w:pStyle w:val="Compact"/>
        <w:numPr>
          <w:ilvl w:val="0"/>
          <w:numId w:val="1014"/>
        </w:numPr>
      </w:pPr>
      <w:r>
        <w:rPr>
          <w:b/>
          <w:bCs/>
        </w:rPr>
        <w:t xml:space="preserve">Does LYB still expect $500 million of incremental cash improvement in 2026?</w:t>
      </w:r>
    </w:p>
    <w:p>
      <w:pPr>
        <w:pStyle w:val="Compact"/>
        <w:numPr>
          <w:ilvl w:val="0"/>
          <w:numId w:val="1014"/>
        </w:numPr>
      </w:pPr>
      <w:r>
        <w:rPr>
          <w:b/>
          <w:bCs/>
        </w:rPr>
        <w:t xml:space="preserve">What portion of the Q2 margin benefit is considered structural rather than event-driven?</w:t>
      </w:r>
    </w:p>
    <w:p>
      <w:pPr>
        <w:pStyle w:val="Compact"/>
        <w:numPr>
          <w:ilvl w:val="0"/>
          <w:numId w:val="1014"/>
        </w:numPr>
      </w:pPr>
      <w:r>
        <w:rPr>
          <w:b/>
          <w:bCs/>
        </w:rPr>
        <w:t xml:space="preserve">Will excess cash be directed primarily toward the 2026–2027 debt maturities?</w:t>
      </w:r>
    </w:p>
    <w:bookmarkEnd w:id="28"/>
    <w:bookmarkStart w:id="29" w:name="bottom-line"/>
    <w:p>
      <w:pPr>
        <w:pStyle w:val="Heading2"/>
      </w:pPr>
      <w:r>
        <w:t xml:space="preserve">Bottom line</w:t>
      </w:r>
    </w:p>
    <w:p>
      <w:pPr>
        <w:pStyle w:val="FirstParagraph"/>
      </w:pPr>
      <w:r>
        <w:t xml:space="preserve">LYB is set up for an exceptional sequential earnings increase, and Dow’s report confirms that Q2 polymer economics were powerful. The bar, however, has also risen dramatically: consensus is already pricing in adjusted EPS many times Q1’s level.</w:t>
      </w:r>
    </w:p>
    <w:p>
      <w:pPr>
        <w:pStyle w:val="BodyText"/>
      </w:pPr>
      <w:r>
        <w:t xml:space="preserve">The stock reaction will likely depend less on the precise Q2 beat and more on three forward-looking factors:</w:t>
      </w:r>
    </w:p>
    <w:p>
      <w:pPr>
        <w:pStyle w:val="Compact"/>
        <w:numPr>
          <w:ilvl w:val="0"/>
          <w:numId w:val="1015"/>
        </w:numPr>
      </w:pPr>
      <w:r>
        <w:rPr>
          <w:b/>
          <w:bCs/>
        </w:rPr>
        <w:t xml:space="preserve">The durability of North American polyethylene and polypropylene margins</w:t>
      </w:r>
    </w:p>
    <w:p>
      <w:pPr>
        <w:pStyle w:val="Compact"/>
        <w:numPr>
          <w:ilvl w:val="0"/>
          <w:numId w:val="1015"/>
        </w:numPr>
      </w:pPr>
      <w:r>
        <w:rPr>
          <w:b/>
          <w:bCs/>
        </w:rPr>
        <w:t xml:space="preserve">A successful Bayport restart</w:t>
      </w:r>
    </w:p>
    <w:p>
      <w:pPr>
        <w:pStyle w:val="Compact"/>
        <w:numPr>
          <w:ilvl w:val="0"/>
          <w:numId w:val="1015"/>
        </w:numPr>
      </w:pPr>
      <w:r>
        <w:rPr>
          <w:b/>
          <w:bCs/>
        </w:rPr>
        <w:t xml:space="preserve">Evidence that elevated earnings can convert into cash and debt reduction</w:t>
      </w:r>
    </w:p>
    <w:p>
      <w:pPr>
        <w:pStyle w:val="FirstParagraph"/>
      </w:pPr>
      <w:r>
        <w:t xml:space="preserve">In short, investors should treat Q2 as the proof-of-earnings quarter—but</w:t>
      </w:r>
      <w:r>
        <w:t xml:space="preserve"> </w:t>
      </w:r>
      <w:r>
        <w:rPr>
          <w:b/>
          <w:bCs/>
        </w:rPr>
        <w:t xml:space="preserve">Q3 guidance and cash conversion will determine whether the improvement deserves to be capitalized as a durable recovery or discounted as a temporary geopolitical windfall</w:t>
      </w:r>
      <w:r>
        <w:t xml:space="preserve">.</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https://investors.dow.com/en/news/news-details/2026/Dow-reports-second-quarter-2026-results/default.aspx?utm_source=openai" TargetMode="External" /><Relationship Type="http://schemas.openxmlformats.org/officeDocument/2006/relationships/hyperlink" Id="rId12" Target="https://investors.lyondellbasell.com/financials/quarterly-results/default.aspx?id=6742&amp;utm_source=openai" TargetMode="External" /><Relationship Type="http://schemas.openxmlformats.org/officeDocument/2006/relationships/hyperlink" Id="rId9" Target="https://investors.lyondellbasell.com/news/news-details/2026/LYB-to-discuss-second-quarter-results-Friday-July-31-2026/default.aspx?utm_source=openai" TargetMode="External" /><Relationship Type="http://schemas.openxmlformats.org/officeDocument/2006/relationships/hyperlink" Id="rId10" Target="https://www.barchart.com/stocks/quotes/LYB/earnings-estimates?utm_source=openai" TargetMode="External" /></Relationships>
</file>

<file path=word/_rels/footnotes.xml.rels><?xml version="1.0" encoding="UTF-8"?><Relationships xmlns="http://schemas.openxmlformats.org/package/2006/relationships"><Relationship Type="http://schemas.openxmlformats.org/officeDocument/2006/relationships/hyperlink" Id="rId15" Target="https://investors.dow.com/en/news/news-details/2026/Dow-reports-second-quarter-2026-results/default.aspx?utm_source=openai" TargetMode="External" /><Relationship Type="http://schemas.openxmlformats.org/officeDocument/2006/relationships/hyperlink" Id="rId12" Target="https://investors.lyondellbasell.com/financials/quarterly-results/default.aspx?id=6742&amp;utm_source=openai" TargetMode="External" /><Relationship Type="http://schemas.openxmlformats.org/officeDocument/2006/relationships/hyperlink" Id="rId9" Target="https://investors.lyondellbasell.com/news/news-details/2026/LYB-to-discuss-second-quarter-results-Friday-July-31-2026/default.aspx?utm_source=openai" TargetMode="External" /><Relationship Type="http://schemas.openxmlformats.org/officeDocument/2006/relationships/hyperlink" Id="rId10" Target="https://www.barchart.com/stocks/quotes/LYB/earnings-estimate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2026-07-31T00:37:01Z</dcterms:created>
  <dcterms:modified xsi:type="dcterms:W3CDTF">2026-07-31T00:37:01Z</dcterms:modified>
</cp:coreProperties>
</file>

<file path=docProps/custom.xml><?xml version="1.0" encoding="utf-8"?>
<Properties xmlns="http://schemas.openxmlformats.org/officeDocument/2006/custom-properties" xmlns:vt="http://schemas.openxmlformats.org/officeDocument/2006/docPropsVTypes"/>
</file>