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lyb-2q26-earnings-preview"/>
    <w:p>
      <w:pPr>
        <w:pStyle w:val="Heading1"/>
      </w:pPr>
      <w:r>
        <w:t xml:space="preserve">LYB 2Q26 Earnings Preview</w:t>
      </w:r>
    </w:p>
    <w:p>
      <w:pPr>
        <w:pStyle w:val="BlockText"/>
      </w:pPr>
      <w:r>
        <w:rPr>
          <w:b/>
          <w:bCs/>
        </w:rPr>
        <w:t xml:space="preserve">Timing note:</w:t>
      </w:r>
      <w:r>
        <w:t xml:space="preserve"> </w:t>
      </w:r>
      <w:r>
        <w:t xml:space="preserve">July 31, 2026 is</w:t>
      </w:r>
      <w:r>
        <w:t xml:space="preserve"> </w:t>
      </w:r>
      <w:r>
        <w:rPr>
          <w:b/>
          <w:bCs/>
        </w:rPr>
        <w:t xml:space="preserve">today</w:t>
      </w:r>
      <w:r>
        <w:t xml:space="preserve">, not tomorrow. This preview is framed for LYB’s</w:t>
      </w:r>
      <w:r>
        <w:t xml:space="preserve"> </w:t>
      </w:r>
      <w:r>
        <w:rPr>
          <w:b/>
          <w:bCs/>
        </w:rPr>
        <w:t xml:space="preserve">2026Q2 earnings call on July 31, 2026</w:t>
      </w:r>
      <w:r>
        <w:t xml:space="preserve">, prior to the company’s reported results.</w:t>
      </w:r>
    </w:p>
    <w:bookmarkStart w:id="9" w:name="X79f3431bbd93b9701130d99fae0d5e7b7d4df45"/>
    <w:p>
      <w:pPr>
        <w:pStyle w:val="Heading2"/>
      </w:pPr>
      <w:r>
        <w:t xml:space="preserve">Investment view: earnings should be materially better—but the quality and durability of the uplift matter more than the headline</w:t>
      </w:r>
    </w:p>
    <w:p>
      <w:pPr>
        <w:pStyle w:val="FirstParagraph"/>
      </w:pPr>
      <w:r>
        <w:t xml:space="preserve">LyondellBasell enters 2Q with a sharply improved operating backdrop versus 1Q, led by tighter global polymer supply, strong North American export demand, higher polyethylene (PE) and polypropylene (PP) pricing, and higher operating rates at its advantaged U.S. assets.</w:t>
      </w:r>
    </w:p>
    <w:p>
      <w:pPr>
        <w:pStyle w:val="BodyText"/>
      </w:pPr>
      <w:r>
        <w:t xml:space="preserve">The central question is not whether 2Q improves sequentially—management explicitly guided to broad improvement—but rather:</w:t>
      </w:r>
    </w:p>
    <w:p>
      <w:pPr>
        <w:pStyle w:val="Compact"/>
        <w:numPr>
          <w:ilvl w:val="0"/>
          <w:numId w:val="1001"/>
        </w:numPr>
      </w:pPr>
      <w:r>
        <w:rPr>
          <w:b/>
          <w:bCs/>
        </w:rPr>
        <w:t xml:space="preserve">How much of the announced price increase was captured in realized margins and volumes?</w:t>
      </w:r>
    </w:p>
    <w:p>
      <w:pPr>
        <w:pStyle w:val="Compact"/>
        <w:numPr>
          <w:ilvl w:val="0"/>
          <w:numId w:val="1001"/>
        </w:numPr>
      </w:pPr>
      <w:r>
        <w:rPr>
          <w:b/>
          <w:bCs/>
        </w:rPr>
        <w:t xml:space="preserve">How much earnings were forgone from the Bayport PO/TBA outage?</w:t>
      </w:r>
    </w:p>
    <w:p>
      <w:pPr>
        <w:pStyle w:val="Compact"/>
        <w:numPr>
          <w:ilvl w:val="0"/>
          <w:numId w:val="1001"/>
        </w:numPr>
      </w:pPr>
      <w:r>
        <w:rPr>
          <w:b/>
          <w:bCs/>
        </w:rPr>
        <w:t xml:space="preserve">Does management characterize the supply-driven uplift as lasting into 3Q/2H, or merely a temporary spike?</w:t>
      </w:r>
    </w:p>
    <w:p>
      <w:pPr>
        <w:pStyle w:val="Compact"/>
        <w:numPr>
          <w:ilvl w:val="0"/>
          <w:numId w:val="1001"/>
        </w:numPr>
      </w:pPr>
      <w:r>
        <w:rPr>
          <w:b/>
          <w:bCs/>
        </w:rPr>
        <w:t xml:space="preserve">Can cash generation hold up despite an intentional working-capital build, the European asset-sale cash contribution, and elevated debt?</w:t>
      </w:r>
    </w:p>
    <w:p>
      <w:pPr>
        <w:pStyle w:val="FirstParagraph"/>
      </w:pPr>
      <w:r>
        <w:t xml:space="preserve">A strong print likely requires evidence that O&amp;P-Americas margins approached a much more normalized—or even peak-like—earnings level, while a more mixed outcome could result if price realization lagged, export/logistics constraints limited volumes, or Bayport downtime proved more costly than anticipated.</w:t>
      </w:r>
    </w:p>
    <w:p>
      <w:r>
        <w:pict>
          <v:rect style="width:0;height:1.5pt" o:hralign="center" o:hrstd="t" o:hr="t"/>
        </w:pict>
      </w:r>
    </w:p>
    <w:bookmarkEnd w:id="9"/>
    <w:bookmarkStart w:id="15" w:name="what-management-guided-to-for-2q"/>
    <w:p>
      <w:pPr>
        <w:pStyle w:val="Heading2"/>
      </w:pPr>
      <w:r>
        <w:t xml:space="preserve">What management guided to for 2Q</w:t>
      </w:r>
    </w:p>
    <w:bookmarkStart w:id="10" w:name="X691a77dfab983dc3d638e3bb7e8d9b8fecec391"/>
    <w:p>
      <w:pPr>
        <w:pStyle w:val="Heading3"/>
      </w:pPr>
      <w:r>
        <w:t xml:space="preserve">1. O&amp;P-Americas is the major upside driver</w:t>
      </w:r>
    </w:p>
    <w:p>
      <w:pPr>
        <w:pStyle w:val="FirstParagraph"/>
      </w:pPr>
      <w:r>
        <w:t xml:space="preserve">This is the most important segment going into the print.</w:t>
      </w:r>
    </w:p>
    <w:p>
      <w:pPr>
        <w:pStyle w:val="BodyText"/>
      </w:pPr>
      <w:r>
        <w:t xml:space="preserve">In 1Q, O&amp;P-Americas generated</w:t>
      </w:r>
      <w:r>
        <w:t xml:space="preserve"> </w:t>
      </w:r>
      <w:r>
        <w:rPr>
          <w:b/>
          <w:bCs/>
        </w:rPr>
        <w:t xml:space="preserve">$327 million of EBITDA</w:t>
      </w:r>
      <w:r>
        <w:t xml:space="preserve">, up from $162 million in 4Q25, as polyethylene pricing and margins improved. For 2Q, management guided to:</w:t>
      </w:r>
    </w:p>
    <w:p>
      <w:pPr>
        <w:pStyle w:val="Compact"/>
        <w:numPr>
          <w:ilvl w:val="0"/>
          <w:numId w:val="1002"/>
        </w:numPr>
      </w:pPr>
      <w:r>
        <w:t xml:space="preserve">approximately</w:t>
      </w:r>
      <w:r>
        <w:t xml:space="preserve"> </w:t>
      </w:r>
      <w:r>
        <w:rPr>
          <w:b/>
          <w:bCs/>
        </w:rPr>
        <w:t xml:space="preserve">90% utilization</w:t>
      </w:r>
      <w:r>
        <w:t xml:space="preserve"> </w:t>
      </w:r>
      <w:r>
        <w:t xml:space="preserve">across the segment;</w:t>
      </w:r>
    </w:p>
    <w:p>
      <w:pPr>
        <w:pStyle w:val="Compact"/>
        <w:numPr>
          <w:ilvl w:val="0"/>
          <w:numId w:val="1002"/>
        </w:numPr>
      </w:pPr>
      <w:r>
        <w:t xml:space="preserve">higher margins and volumes;</w:t>
      </w:r>
    </w:p>
    <w:p>
      <w:pPr>
        <w:pStyle w:val="Compact"/>
        <w:numPr>
          <w:ilvl w:val="0"/>
          <w:numId w:val="1002"/>
        </w:numPr>
      </w:pPr>
      <w:r>
        <w:t xml:space="preserve">strong order books, with April PE orders cited as</w:t>
      </w:r>
      <w:r>
        <w:t xml:space="preserve"> </w:t>
      </w:r>
      <w:r>
        <w:rPr>
          <w:b/>
          <w:bCs/>
        </w:rPr>
        <w:t xml:space="preserve">20% above pre-conflict averages</w:t>
      </w:r>
      <w:r>
        <w:t xml:space="preserve">;</w:t>
      </w:r>
    </w:p>
    <w:p>
      <w:pPr>
        <w:pStyle w:val="Compact"/>
        <w:numPr>
          <w:ilvl w:val="0"/>
          <w:numId w:val="1002"/>
        </w:numPr>
      </w:pPr>
      <w:r>
        <w:t xml:space="preserve">cumulative announced PE price increases of</w:t>
      </w:r>
      <w:r>
        <w:t xml:space="preserve"> </w:t>
      </w:r>
      <w:r>
        <w:rPr>
          <w:b/>
          <w:bCs/>
        </w:rPr>
        <w:t xml:space="preserve">$0.50/lb across April and May</w:t>
      </w:r>
      <w:r>
        <w:t xml:space="preserve">; and</w:t>
      </w:r>
    </w:p>
    <w:p>
      <w:pPr>
        <w:pStyle w:val="Compact"/>
        <w:numPr>
          <w:ilvl w:val="0"/>
          <w:numId w:val="1002"/>
        </w:numPr>
      </w:pPr>
      <w:r>
        <w:rPr>
          <w:b/>
          <w:bCs/>
        </w:rPr>
        <w:t xml:space="preserve">$0.10/lb PP spread increases</w:t>
      </w:r>
      <w:r>
        <w:t xml:space="preserve"> </w:t>
      </w:r>
      <w:r>
        <w:t xml:space="preserve">in each of April and May.</w:t>
      </w:r>
    </w:p>
    <w:p>
      <w:pPr>
        <w:pStyle w:val="FirstParagraph"/>
      </w:pPr>
      <w:r>
        <w:t xml:space="preserve">The opportunity is substantial because LYB’s U.S. ethane-based asset base should benefit disproportionately when global, crude-linked producers are under pressure. Management also suggested that North America could shift toward greater polymer exports as supply is disrupted elsewhere.</w:t>
      </w:r>
    </w:p>
    <w:p>
      <w:pPr>
        <w:pStyle w:val="BodyText"/>
      </w:pPr>
      <w:r>
        <w:rPr>
          <w:b/>
          <w:bCs/>
        </w:rPr>
        <w:t xml:space="preserve">What to watch:</w:t>
      </w:r>
      <w:r>
        <w:t xml:space="preserve"> </w:t>
      </w:r>
      <w:r>
        <w:t xml:space="preserve">realized PE and PP pricing, export volumes, operating rates, and management’s commentary on June/July pricing retention. The market will likely place more value on evidence of durable 3Q margins than on a single-quarter pricing windfall.</w:t>
      </w:r>
    </w:p>
    <w:p>
      <w:r>
        <w:pict>
          <v:rect style="width:0;height:1.5pt" o:hralign="center" o:hrstd="t" o:hr="t"/>
        </w:pict>
      </w:r>
    </w:p>
    <w:bookmarkEnd w:id="10"/>
    <w:bookmarkStart w:id="11" w:name="X1339bf702089fe4a105c231fe7d6c4a71f5e052"/>
    <w:p>
      <w:pPr>
        <w:pStyle w:val="Heading3"/>
      </w:pPr>
      <w:r>
        <w:t xml:space="preserve">2. I&amp;D should improve—but Bayport is the key offset</w:t>
      </w:r>
    </w:p>
    <w:p>
      <w:pPr>
        <w:pStyle w:val="FirstParagraph"/>
      </w:pPr>
      <w:r>
        <w:t xml:space="preserve">Intermediates &amp; Derivatives produced</w:t>
      </w:r>
      <w:r>
        <w:t xml:space="preserve"> </w:t>
      </w:r>
      <m:oMath>
        <m:r>
          <m:t>224</m:t>
        </m:r>
        <m:r>
          <m:t>m</m:t>
        </m:r>
        <m:r>
          <m:t>i</m:t>
        </m:r>
        <m:r>
          <m:t>l</m:t>
        </m:r>
        <m:r>
          <m:t>l</m:t>
        </m:r>
        <m:r>
          <m:t>i</m:t>
        </m:r>
        <m:r>
          <m:t>o</m:t>
        </m:r>
        <m:r>
          <m:t>n</m:t>
        </m:r>
        <m:r>
          <m:t>o</m:t>
        </m:r>
        <m:r>
          <m:t>f</m:t>
        </m:r>
        <m:r>
          <m:t>E</m:t>
        </m:r>
        <m:r>
          <m:t>B</m:t>
        </m:r>
        <m:r>
          <m:t>I</m:t>
        </m:r>
        <m:r>
          <m:t>T</m:t>
        </m:r>
        <m:r>
          <m:t>D</m:t>
        </m:r>
        <m:r>
          <m:t>A</m:t>
        </m:r>
        <m:r>
          <m:t>i</m:t>
        </m:r>
        <m:r>
          <m:t>n</m:t>
        </m:r>
        <m:r>
          <m:t>1</m:t>
        </m:r>
        <m:r>
          <m:t>Q</m:t>
        </m:r>
        <m:r>
          <m:rPr>
            <m:sty m:val="p"/>
          </m:rPr>
          <m:t>*</m:t>
        </m:r>
        <m:r>
          <m:rPr>
            <m:sty m:val="p"/>
          </m:rPr>
          <m:t>*</m:t>
        </m:r>
        <m:r>
          <m:rPr>
            <m:sty m:val="p"/>
          </m:rPr>
          <m:t>,</m:t>
        </m:r>
        <m:r>
          <m:t>b</m:t>
        </m:r>
        <m:r>
          <m:t>u</m:t>
        </m:r>
        <m:r>
          <m:t>t</m:t>
        </m:r>
        <m:r>
          <m:t>t</m:t>
        </m:r>
        <m:r>
          <m:t>h</m:t>
        </m:r>
        <m:r>
          <m:t>e</m:t>
        </m:r>
        <m:r>
          <m:t>r</m:t>
        </m:r>
        <m:r>
          <m:t>e</m:t>
        </m:r>
        <m:r>
          <m:t>s</m:t>
        </m:r>
        <m:r>
          <m:t>u</m:t>
        </m:r>
        <m:r>
          <m:t>l</m:t>
        </m:r>
        <m:r>
          <m:t>t</m:t>
        </m:r>
        <m:r>
          <m:t>i</m:t>
        </m:r>
        <m:r>
          <m:t>n</m:t>
        </m:r>
        <m:r>
          <m:t>c</m:t>
        </m:r>
        <m:r>
          <m:t>l</m:t>
        </m:r>
        <m:r>
          <m:t>u</m:t>
        </m:r>
        <m:r>
          <m:t>d</m:t>
        </m:r>
        <m:r>
          <m:t>e</m:t>
        </m:r>
        <m:r>
          <m:t>d</m:t>
        </m:r>
        <m:r>
          <m:t>r</m:t>
        </m:r>
        <m:r>
          <m:t>o</m:t>
        </m:r>
        <m:r>
          <m:t>u</m:t>
        </m:r>
        <m:r>
          <m:t>g</m:t>
        </m:r>
        <m:r>
          <m:t>h</m:t>
        </m:r>
        <m:r>
          <m:t>l</m:t>
        </m:r>
        <m:r>
          <m:t>y</m:t>
        </m:r>
        <m:r>
          <m:rPr>
            <m:sty m:val="p"/>
          </m:rPr>
          <m:t>*</m:t>
        </m:r>
        <m:r>
          <m:rPr>
            <m:sty m:val="p"/>
          </m:rPr>
          <m:t>*</m:t>
        </m:r>
      </m:oMath>
      <w:r>
        <w:rPr>
          <w:b/>
          <w:bCs/>
        </w:rPr>
        <w:t xml:space="preserve">40 million</w:t>
      </w:r>
      <w:r>
        <w:t xml:space="preserve"> </w:t>
      </w:r>
      <w:r>
        <w:t xml:space="preserve">of impact from unplanned downtime at the Bayport PO/TBA facility.</w:t>
      </w:r>
    </w:p>
    <w:p>
      <w:pPr>
        <w:pStyle w:val="BodyText"/>
      </w:pPr>
      <w:r>
        <w:t xml:space="preserve">For 2Q, LYB expected:</w:t>
      </w:r>
    </w:p>
    <w:p>
      <w:pPr>
        <w:pStyle w:val="Compact"/>
        <w:numPr>
          <w:ilvl w:val="0"/>
          <w:numId w:val="1003"/>
        </w:numPr>
      </w:pPr>
      <w:r>
        <w:t xml:space="preserve">improved oxyfuels margins on stronger seasonal demand and reduced global supply;</w:t>
      </w:r>
    </w:p>
    <w:p>
      <w:pPr>
        <w:pStyle w:val="Compact"/>
        <w:numPr>
          <w:ilvl w:val="0"/>
          <w:numId w:val="1003"/>
        </w:numPr>
      </w:pPr>
      <w:r>
        <w:t xml:space="preserve">better acetyls volumes and margins after the La Porte restart;</w:t>
      </w:r>
    </w:p>
    <w:p>
      <w:pPr>
        <w:pStyle w:val="Compact"/>
        <w:numPr>
          <w:ilvl w:val="0"/>
          <w:numId w:val="1003"/>
        </w:numPr>
      </w:pPr>
      <w:r>
        <w:t xml:space="preserve">about</w:t>
      </w:r>
      <w:r>
        <w:t xml:space="preserve"> </w:t>
      </w:r>
      <w:r>
        <w:rPr>
          <w:b/>
          <w:bCs/>
        </w:rPr>
        <w:t xml:space="preserve">75% operating rates</w:t>
      </w:r>
      <w:r>
        <w:t xml:space="preserve"> </w:t>
      </w:r>
      <w:r>
        <w:t xml:space="preserve">for I&amp;D during 2Q; and</w:t>
      </w:r>
    </w:p>
    <w:p>
      <w:pPr>
        <w:pStyle w:val="Compact"/>
        <w:numPr>
          <w:ilvl w:val="0"/>
          <w:numId w:val="1003"/>
        </w:numPr>
      </w:pPr>
      <w:r>
        <w:t xml:space="preserve">a Bayport restart toward the end of the quarter.</w:t>
      </w:r>
    </w:p>
    <w:p>
      <w:pPr>
        <w:pStyle w:val="FirstParagraph"/>
      </w:pPr>
      <w:r>
        <w:t xml:space="preserve">Management quantified the Bayport outage at roughly</w:t>
      </w:r>
      <w:r>
        <w:t xml:space="preserve"> </w:t>
      </w:r>
      <w:r>
        <w:rPr>
          <w:b/>
          <w:bCs/>
        </w:rPr>
        <w:t xml:space="preserve">$25 million per week while down</w:t>
      </w:r>
      <w:r>
        <w:t xml:space="preserve">. Therefore, the actual restart timing, ramp quality, and residual outage cost will be crucial to understanding both 2Q results and 3Q run-rate earnings.</w:t>
      </w:r>
    </w:p>
    <w:p>
      <w:pPr>
        <w:pStyle w:val="BodyText"/>
      </w:pPr>
      <w:r>
        <w:rPr>
          <w:b/>
          <w:bCs/>
        </w:rPr>
        <w:t xml:space="preserve">What to watch:</w:t>
      </w:r>
    </w:p>
    <w:p>
      <w:pPr>
        <w:pStyle w:val="Compact"/>
        <w:numPr>
          <w:ilvl w:val="0"/>
          <w:numId w:val="1004"/>
        </w:numPr>
      </w:pPr>
      <w:r>
        <w:t xml:space="preserve">Bayport restart date and whether the plant is now operating reliably;</w:t>
      </w:r>
    </w:p>
    <w:p>
      <w:pPr>
        <w:pStyle w:val="Compact"/>
        <w:numPr>
          <w:ilvl w:val="0"/>
          <w:numId w:val="1004"/>
        </w:numPr>
      </w:pPr>
      <w:r>
        <w:t xml:space="preserve">oxyfuel margin progression, especially in the U.S.;</w:t>
      </w:r>
    </w:p>
    <w:p>
      <w:pPr>
        <w:pStyle w:val="Compact"/>
        <w:numPr>
          <w:ilvl w:val="0"/>
          <w:numId w:val="1004"/>
        </w:numPr>
      </w:pPr>
      <w:r>
        <w:t xml:space="preserve">methanol, acetic acid, and VAM pricing realization; and</w:t>
      </w:r>
    </w:p>
    <w:p>
      <w:pPr>
        <w:pStyle w:val="Compact"/>
        <w:numPr>
          <w:ilvl w:val="0"/>
          <w:numId w:val="1004"/>
        </w:numPr>
      </w:pPr>
      <w:r>
        <w:t xml:space="preserve">the extent to which 2Q EBITDA missed potential earnings because of downtime.</w:t>
      </w:r>
    </w:p>
    <w:p>
      <w:r>
        <w:pict>
          <v:rect style="width:0;height:1.5pt" o:hralign="center" o:hrstd="t" o:hr="t"/>
        </w:pict>
      </w:r>
    </w:p>
    <w:bookmarkEnd w:id="11"/>
    <w:bookmarkStart w:id="12" w:name="Xbe0017fd36a338966acbf90feb9be92bb7db446"/>
    <w:p>
      <w:pPr>
        <w:pStyle w:val="Heading3"/>
      </w:pPr>
      <w:r>
        <w:t xml:space="preserve">3. Europe should look better operationally, but reported results will be distorted by the divestiture</w:t>
      </w:r>
    </w:p>
    <w:p>
      <w:pPr>
        <w:pStyle w:val="FirstParagraph"/>
      </w:pPr>
      <w:r>
        <w:t xml:space="preserve">The O&amp;P-EAI segment was a meaningful drag in 1Q, with reported EBITDA of</w:t>
      </w:r>
      <w:r>
        <w:t xml:space="preserve"> </w:t>
      </w:r>
      <w:r>
        <w:rPr>
          <w:b/>
          <w:bCs/>
        </w:rPr>
        <w:t xml:space="preserve">negative $35 million</w:t>
      </w:r>
      <w:r>
        <w:t xml:space="preserve"> </w:t>
      </w:r>
      <w:r>
        <w:t xml:space="preserve">in the 10-Q. However, management’s adjusted view was less negative, and it expected improving polymer pricing, higher utilization, and better fixed-cost absorption in 2Q.</w:t>
      </w:r>
    </w:p>
    <w:p>
      <w:pPr>
        <w:pStyle w:val="BodyText"/>
      </w:pPr>
      <w:r>
        <w:t xml:space="preserve">The completed sale of four European assets is strategically important:</w:t>
      </w:r>
    </w:p>
    <w:p>
      <w:pPr>
        <w:pStyle w:val="Compact"/>
        <w:numPr>
          <w:ilvl w:val="0"/>
          <w:numId w:val="1005"/>
        </w:numPr>
      </w:pPr>
      <w:r>
        <w:t xml:space="preserve">it should improve LYB’s average portfolio quality and reduce fixed costs;</w:t>
      </w:r>
    </w:p>
    <w:p>
      <w:pPr>
        <w:pStyle w:val="Compact"/>
        <w:numPr>
          <w:ilvl w:val="0"/>
          <w:numId w:val="1005"/>
        </w:numPr>
      </w:pPr>
      <w:r>
        <w:t xml:space="preserve">it lowers annual capital spending needs by roughly</w:t>
      </w:r>
      <w:r>
        <w:t xml:space="preserve"> </w:t>
      </w:r>
      <w:r>
        <w:rPr>
          <w:b/>
          <w:bCs/>
        </w:rPr>
        <w:t xml:space="preserve">€110 million</w:t>
      </w:r>
      <w:r>
        <w:t xml:space="preserve"> </w:t>
      </w:r>
      <w:r>
        <w:t xml:space="preserve">and associated fixed costs by about</w:t>
      </w:r>
      <w:r>
        <w:t xml:space="preserve"> </w:t>
      </w:r>
      <w:r>
        <w:rPr>
          <w:b/>
          <w:bCs/>
        </w:rPr>
        <w:t xml:space="preserve">€400 million</w:t>
      </w:r>
      <w:r>
        <w:t xml:space="preserve">, according to management;</w:t>
      </w:r>
    </w:p>
    <w:p>
      <w:pPr>
        <w:pStyle w:val="Compact"/>
        <w:numPr>
          <w:ilvl w:val="0"/>
          <w:numId w:val="1005"/>
        </w:numPr>
      </w:pPr>
      <w:r>
        <w:t xml:space="preserve">but it also reduces reported volumes and creates an important accounting issue for 2Q.</w:t>
      </w:r>
    </w:p>
    <w:p>
      <w:pPr>
        <w:pStyle w:val="FirstParagraph"/>
      </w:pPr>
      <w:r>
        <w:t xml:space="preserve">LYB disclosed that it expected to record a</w:t>
      </w:r>
      <w:r>
        <w:t xml:space="preserve"> </w:t>
      </w:r>
      <w:r>
        <w:rPr>
          <w:b/>
          <w:bCs/>
        </w:rPr>
        <w:t xml:space="preserve">pre-tax loss of approximately</w:t>
      </w:r>
      <w:r>
        <w:rPr>
          <w:b/>
          <w:bCs/>
        </w:rPr>
        <w:t xml:space="preserve"> </w:t>
      </w:r>
      <m:oMath>
        <m:r>
          <m:t>700</m:t>
        </m:r>
        <m:r>
          <m:t>m</m:t>
        </m:r>
        <m:r>
          <m:t>i</m:t>
        </m:r>
        <m:r>
          <m:t>l</m:t>
        </m:r>
        <m:r>
          <m:t>l</m:t>
        </m:r>
        <m:r>
          <m:t>i</m:t>
        </m:r>
        <m:r>
          <m:t>o</m:t>
        </m:r>
        <m:r>
          <m:t>n</m:t>
        </m:r>
        <m:r>
          <m:rPr>
            <m:sty m:val="p"/>
          </m:rPr>
          <m:t>–</m:t>
        </m:r>
      </m:oMath>
      <w:r>
        <w:rPr>
          <w:b/>
          <w:bCs/>
        </w:rPr>
        <w:t xml:space="preserve">800 million</w:t>
      </w:r>
      <w:r>
        <w:t xml:space="preserve"> </w:t>
      </w:r>
      <w:r>
        <w:t xml:space="preserve">tied to the sale, including an approximately</w:t>
      </w:r>
      <w:r>
        <w:t xml:space="preserve"> </w:t>
      </w:r>
      <w:r>
        <w:rPr>
          <w:b/>
          <w:bCs/>
        </w:rPr>
        <w:t xml:space="preserve">$300 million cash contribution</w:t>
      </w:r>
      <w:r>
        <w:t xml:space="preserve"> </w:t>
      </w:r>
      <w:r>
        <w:t xml:space="preserve">to the divested businesses and closing costs.</w:t>
      </w:r>
    </w:p>
    <w:p>
      <w:pPr>
        <w:pStyle w:val="BodyText"/>
      </w:pPr>
      <w:r>
        <w:rPr>
          <w:b/>
          <w:bCs/>
        </w:rPr>
        <w:t xml:space="preserve">Implication:</w:t>
      </w:r>
      <w:r>
        <w:t xml:space="preserve"> </w:t>
      </w:r>
      <w:r>
        <w:t xml:space="preserve">Investors should separate</w:t>
      </w:r>
      <w:r>
        <w:t xml:space="preserve"> </w:t>
      </w:r>
      <w:r>
        <w:rPr>
          <w:b/>
          <w:bCs/>
        </w:rPr>
        <w:t xml:space="preserve">underlying EBITDA and cash economics</w:t>
      </w:r>
      <w:r>
        <w:t xml:space="preserve"> </w:t>
      </w:r>
      <w:r>
        <w:t xml:space="preserve">from GAAP EPS. A large transaction-related charge could make headline earnings look weak even if the operating businesses perform very well.</w:t>
      </w:r>
    </w:p>
    <w:p>
      <w:r>
        <w:pict>
          <v:rect style="width:0;height:1.5pt" o:hralign="center" o:hrstd="t" o:hr="t"/>
        </w:pict>
      </w:r>
    </w:p>
    <w:bookmarkEnd w:id="12"/>
    <w:bookmarkStart w:id="13" w:name="X5637ec10b2e3e00665d4d43e914113bbf1f5b84"/>
    <w:p>
      <w:pPr>
        <w:pStyle w:val="Heading3"/>
      </w:pPr>
      <w:r>
        <w:t xml:space="preserve">4. APS improves operationally, but margin lag and automotive remain risks</w:t>
      </w:r>
    </w:p>
    <w:p>
      <w:pPr>
        <w:pStyle w:val="FirstParagraph"/>
      </w:pPr>
      <w:r>
        <w:t xml:space="preserve">Advanced Polymer Solutions delivered</w:t>
      </w:r>
      <w:r>
        <w:t xml:space="preserve"> </w:t>
      </w:r>
      <w:r>
        <w:rPr>
          <w:b/>
          <w:bCs/>
        </w:rPr>
        <w:t xml:space="preserve">$58 million of EBITDA</w:t>
      </w:r>
      <w:r>
        <w:t xml:space="preserve"> </w:t>
      </w:r>
      <w:r>
        <w:t xml:space="preserve">in 1Q, benefiting from seasonal volume recovery. For 2Q, the likely tension is between:</w:t>
      </w:r>
    </w:p>
    <w:p>
      <w:pPr>
        <w:pStyle w:val="Compact"/>
        <w:numPr>
          <w:ilvl w:val="0"/>
          <w:numId w:val="1006"/>
        </w:numPr>
      </w:pPr>
      <w:r>
        <w:t xml:space="preserve">stronger packaging and certain Western-market demand;</w:t>
      </w:r>
    </w:p>
    <w:p>
      <w:pPr>
        <w:pStyle w:val="Compact"/>
        <w:numPr>
          <w:ilvl w:val="0"/>
          <w:numId w:val="1006"/>
        </w:numPr>
      </w:pPr>
      <w:r>
        <w:t xml:space="preserve">lagged contractual pricing, which can delay recovery of higher raw-material and logistics costs; and</w:t>
      </w:r>
    </w:p>
    <w:p>
      <w:pPr>
        <w:pStyle w:val="Compact"/>
        <w:numPr>
          <w:ilvl w:val="0"/>
          <w:numId w:val="1006"/>
        </w:numPr>
      </w:pPr>
      <w:r>
        <w:t xml:space="preserve">still-soft automotive and durable-goods demand.</w:t>
      </w:r>
    </w:p>
    <w:p>
      <w:pPr>
        <w:pStyle w:val="FirstParagraph"/>
      </w:pPr>
      <w:r>
        <w:t xml:space="preserve">This is not likely to determine the quarter, but it matters for the credibility of LYB’s portfolio transformation and the resilience of earnings outside commodity polymers.</w:t>
      </w:r>
    </w:p>
    <w:p>
      <w:r>
        <w:pict>
          <v:rect style="width:0;height:1.5pt" o:hralign="center" o:hrstd="t" o:hr="t"/>
        </w:pict>
      </w:r>
    </w:p>
    <w:bookmarkEnd w:id="13"/>
    <w:bookmarkStart w:id="14" w:name="X3fa85812a8d06ab884225e3aae604bea95311ed"/>
    <w:p>
      <w:pPr>
        <w:pStyle w:val="Heading3"/>
      </w:pPr>
      <w:r>
        <w:t xml:space="preserve">5. Technology should rebound sequentially, but the structural outlook remains weak</w:t>
      </w:r>
    </w:p>
    <w:p>
      <w:pPr>
        <w:pStyle w:val="FirstParagraph"/>
      </w:pPr>
      <w:r>
        <w:t xml:space="preserve">Technology EBITDA fell to</w:t>
      </w:r>
      <w:r>
        <w:t xml:space="preserve"> </w:t>
      </w:r>
      <w:r>
        <w:rPr>
          <w:b/>
          <w:bCs/>
        </w:rPr>
        <w:t xml:space="preserve">$18 million</w:t>
      </w:r>
      <w:r>
        <w:t xml:space="preserve"> </w:t>
      </w:r>
      <w:r>
        <w:t xml:space="preserve">in 1Q from $80 million in 4Q25, largely because fewer licensing milestones were recognized and catalyst demand weakened.</w:t>
      </w:r>
    </w:p>
    <w:p>
      <w:pPr>
        <w:pStyle w:val="BodyText"/>
      </w:pPr>
      <w:r>
        <w:t xml:space="preserve">Management expected 2Q Technology results to be only slightly below 4Q25 levels as shipments and licensing milestones are recognized. That could make Technology a useful incremental tailwind to the quarter.</w:t>
      </w:r>
    </w:p>
    <w:p>
      <w:pPr>
        <w:pStyle w:val="BodyText"/>
      </w:pPr>
      <w:r>
        <w:t xml:space="preserve">However, management also described demand for new licenses as historically weak amid slower global polyolefin capacity expansion. A 2Q rebound would therefore be more about</w:t>
      </w:r>
      <w:r>
        <w:t xml:space="preserve"> </w:t>
      </w:r>
      <w:r>
        <w:rPr>
          <w:b/>
          <w:bCs/>
        </w:rPr>
        <w:t xml:space="preserve">revenue timing</w:t>
      </w:r>
      <w:r>
        <w:t xml:space="preserve"> </w:t>
      </w:r>
      <w:r>
        <w:t xml:space="preserve">than evidence of a broad recovery in licensing demand.</w:t>
      </w:r>
    </w:p>
    <w:p>
      <w:r>
        <w:pict>
          <v:rect style="width:0;height:1.5pt" o:hralign="center" o:hrstd="t" o:hr="t"/>
        </w:pict>
      </w:r>
    </w:p>
    <w:bookmarkEnd w:id="14"/>
    <w:bookmarkEnd w:id="15"/>
    <w:bookmarkStart w:id="16" w:name="X81e6dadee6f343abfa31a7f48bdfdc16884447b"/>
    <w:p>
      <w:pPr>
        <w:pStyle w:val="Heading2"/>
      </w:pPr>
      <w:r>
        <w:t xml:space="preserve">Earnings quality: focus on EBITDA, not just EPS</w:t>
      </w:r>
    </w:p>
    <w:p>
      <w:pPr>
        <w:pStyle w:val="FirstParagraph"/>
      </w:pPr>
      <w:r>
        <w:t xml:space="preserve">LYB’s 1Q results illustrate why investors should look through GAAP noise: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1Q26</w:t>
            </w:r>
          </w:p>
        </w:tc>
      </w:tr>
      <w:tr>
        <w:tc>
          <w:tcPr/>
          <w:p>
            <w:pPr>
              <w:pStyle w:val="Compact"/>
            </w:pPr>
            <w:r>
              <w:t xml:space="preserve">Sales</w:t>
            </w:r>
          </w:p>
        </w:tc>
        <w:tc>
          <w:tcPr/>
          <w:p>
            <w:pPr>
              <w:pStyle w:val="Compact"/>
              <w:jc w:val="right"/>
            </w:pPr>
            <w:r>
              <w:t xml:space="preserve">$7.2B</w:t>
            </w:r>
          </w:p>
        </w:tc>
      </w:tr>
      <w:tr>
        <w:tc>
          <w:tcPr/>
          <w:p>
            <w:pPr>
              <w:pStyle w:val="Compact"/>
            </w:pPr>
            <w:r>
              <w:t xml:space="preserve">Net income</w:t>
            </w:r>
          </w:p>
        </w:tc>
        <w:tc>
          <w:tcPr/>
          <w:p>
            <w:pPr>
              <w:pStyle w:val="Compact"/>
              <w:jc w:val="right"/>
            </w:pPr>
            <w:r>
              <w:t xml:space="preserve">$125M</w:t>
            </w:r>
          </w:p>
        </w:tc>
      </w:tr>
      <w:tr>
        <w:tc>
          <w:tcPr/>
          <w:p>
            <w:pPr>
              <w:pStyle w:val="Compact"/>
            </w:pPr>
            <w:r>
              <w:t xml:space="preserve">Diluted EPS</w:t>
            </w:r>
          </w:p>
        </w:tc>
        <w:tc>
          <w:tcPr/>
          <w:p>
            <w:pPr>
              <w:pStyle w:val="Compact"/>
              <w:jc w:val="right"/>
            </w:pPr>
            <w:r>
              <w:t xml:space="preserve">$0.38</w:t>
            </w:r>
          </w:p>
        </w:tc>
      </w:tr>
      <w:tr>
        <w:tc>
          <w:tcPr/>
          <w:p>
            <w:pPr>
              <w:pStyle w:val="Compact"/>
            </w:pPr>
            <w:r>
              <w:t xml:space="preserve">Continuing-operations EPS</w:t>
            </w:r>
          </w:p>
        </w:tc>
        <w:tc>
          <w:tcPr/>
          <w:p>
            <w:pPr>
              <w:pStyle w:val="Compact"/>
              <w:jc w:val="right"/>
            </w:pPr>
            <w:r>
              <w:t xml:space="preserve">$0.42</w:t>
            </w:r>
          </w:p>
        </w:tc>
      </w:tr>
      <w:tr>
        <w:tc>
          <w:tcPr/>
          <w:p>
            <w:pPr>
              <w:pStyle w:val="Compact"/>
            </w:pPr>
            <w:r>
              <w:t xml:space="preserve">Reported EBITDA</w:t>
            </w:r>
          </w:p>
        </w:tc>
        <w:tc>
          <w:tcPr/>
          <w:p>
            <w:pPr>
              <w:pStyle w:val="Compact"/>
              <w:jc w:val="right"/>
            </w:pPr>
            <w:r>
              <w:t xml:space="preserve">$568M</w:t>
            </w:r>
          </w:p>
        </w:tc>
      </w:tr>
      <w:tr>
        <w:tc>
          <w:tcPr/>
          <w:p>
            <w:pPr>
              <w:pStyle w:val="Compact"/>
            </w:pPr>
            <w:r>
              <w:t xml:space="preserve">Management-cited underlying EBITDA</w:t>
            </w:r>
          </w:p>
        </w:tc>
        <w:tc>
          <w:tcPr/>
          <w:p>
            <w:pPr>
              <w:pStyle w:val="Compact"/>
              <w:jc w:val="right"/>
            </w:pPr>
            <w:r>
              <w:t xml:space="preserve">$615M</w:t>
            </w:r>
          </w:p>
        </w:tc>
      </w:tr>
    </w:tbl>
    <w:p>
      <w:pPr>
        <w:pStyle w:val="BodyText"/>
      </w:pPr>
      <w:r>
        <w:t xml:space="preserve">For 2Q, transaction charges from the European asset sale may further complicate EPS comparability. The cleanest scorecard will be:</w:t>
      </w:r>
    </w:p>
    <w:p>
      <w:pPr>
        <w:pStyle w:val="Compact"/>
        <w:numPr>
          <w:ilvl w:val="0"/>
          <w:numId w:val="1007"/>
        </w:numPr>
      </w:pPr>
      <w:r>
        <w:rPr>
          <w:b/>
          <w:bCs/>
        </w:rPr>
        <w:t xml:space="preserve">Underlying segment EBITDA</w:t>
      </w:r>
    </w:p>
    <w:p>
      <w:pPr>
        <w:pStyle w:val="Compact"/>
        <w:numPr>
          <w:ilvl w:val="0"/>
          <w:numId w:val="1007"/>
        </w:numPr>
      </w:pPr>
      <w:r>
        <w:rPr>
          <w:b/>
          <w:bCs/>
        </w:rPr>
        <w:t xml:space="preserve">O&amp;P-Americas EBITDA</w:t>
      </w:r>
    </w:p>
    <w:p>
      <w:pPr>
        <w:pStyle w:val="Compact"/>
        <w:numPr>
          <w:ilvl w:val="0"/>
          <w:numId w:val="1007"/>
        </w:numPr>
      </w:pPr>
      <w:r>
        <w:rPr>
          <w:b/>
          <w:bCs/>
        </w:rPr>
        <w:t xml:space="preserve">Bayport outage impact and restart status</w:t>
      </w:r>
    </w:p>
    <w:p>
      <w:pPr>
        <w:pStyle w:val="Compact"/>
        <w:numPr>
          <w:ilvl w:val="0"/>
          <w:numId w:val="1007"/>
        </w:numPr>
      </w:pPr>
      <w:r>
        <w:rPr>
          <w:b/>
          <w:bCs/>
        </w:rPr>
        <w:t xml:space="preserve">Cash from operations / working-capital movement</w:t>
      </w:r>
    </w:p>
    <w:p>
      <w:pPr>
        <w:pStyle w:val="Compact"/>
        <w:numPr>
          <w:ilvl w:val="0"/>
          <w:numId w:val="1007"/>
        </w:numPr>
      </w:pPr>
      <w:r>
        <w:rPr>
          <w:b/>
          <w:bCs/>
        </w:rPr>
        <w:t xml:space="preserve">3Q operating-rate and margin outlook</w:t>
      </w:r>
    </w:p>
    <w:p>
      <w:r>
        <w:pict>
          <v:rect style="width:0;height:1.5pt" o:hralign="center" o:hrstd="t" o:hr="t"/>
        </w:pict>
      </w:r>
    </w:p>
    <w:bookmarkEnd w:id="16"/>
    <w:bookmarkStart w:id="17" w:name="X3e572e08e3ee21cff2c8c7212195374a72cbcce"/>
    <w:p>
      <w:pPr>
        <w:pStyle w:val="Heading2"/>
      </w:pPr>
      <w:r>
        <w:t xml:space="preserve">Balance sheet and capital allocation: improving earnings need to translate into cash</w:t>
      </w:r>
    </w:p>
    <w:p>
      <w:pPr>
        <w:pStyle w:val="FirstParagraph"/>
      </w:pPr>
      <w:r>
        <w:t xml:space="preserve">LYB ended 1Q with:</w:t>
      </w:r>
    </w:p>
    <w:p>
      <w:pPr>
        <w:pStyle w:val="Compact"/>
        <w:numPr>
          <w:ilvl w:val="0"/>
          <w:numId w:val="1008"/>
        </w:numPr>
      </w:pPr>
      <w:r>
        <w:rPr>
          <w:b/>
          <w:bCs/>
        </w:rPr>
        <w:t xml:space="preserve">$2.6 billion</w:t>
      </w:r>
      <w:r>
        <w:t xml:space="preserve"> </w:t>
      </w:r>
      <w:r>
        <w:t xml:space="preserve">of cash;</w:t>
      </w:r>
    </w:p>
    <w:p>
      <w:pPr>
        <w:pStyle w:val="Compact"/>
        <w:numPr>
          <w:ilvl w:val="0"/>
          <w:numId w:val="1008"/>
        </w:numPr>
      </w:pPr>
      <w:r>
        <w:rPr>
          <w:b/>
          <w:bCs/>
        </w:rPr>
        <w:t xml:space="preserve">$7.3 billion</w:t>
      </w:r>
      <w:r>
        <w:t xml:space="preserve"> </w:t>
      </w:r>
      <w:r>
        <w:t xml:space="preserve">of liquidity;</w:t>
      </w:r>
    </w:p>
    <w:p>
      <w:pPr>
        <w:pStyle w:val="Compact"/>
        <w:numPr>
          <w:ilvl w:val="0"/>
          <w:numId w:val="1008"/>
        </w:numPr>
      </w:pPr>
      <w:r>
        <w:t xml:space="preserve">approximately</w:t>
      </w:r>
      <w:r>
        <w:t xml:space="preserve"> </w:t>
      </w:r>
      <w:r>
        <w:rPr>
          <w:b/>
          <w:bCs/>
        </w:rPr>
        <w:t xml:space="preserve">$12.9 billion</w:t>
      </w:r>
      <w:r>
        <w:t xml:space="preserve"> </w:t>
      </w:r>
      <w:r>
        <w:t xml:space="preserve">of total debt, including current maturities; and</w:t>
      </w:r>
    </w:p>
    <w:p>
      <w:pPr>
        <w:pStyle w:val="Compact"/>
        <w:numPr>
          <w:ilvl w:val="0"/>
          <w:numId w:val="1008"/>
        </w:numPr>
      </w:pPr>
      <w:r>
        <w:t xml:space="preserve">negative operating cash flow of</w:t>
      </w:r>
      <w:r>
        <w:t xml:space="preserve"> </w:t>
      </w:r>
      <w:r>
        <w:rPr>
          <w:b/>
          <w:bCs/>
        </w:rPr>
        <w:t xml:space="preserve">$269 million</w:t>
      </w:r>
      <w:r>
        <w:t xml:space="preserve">, largely reflecting working-capital investment.</w:t>
      </w:r>
    </w:p>
    <w:p>
      <w:pPr>
        <w:pStyle w:val="FirstParagraph"/>
      </w:pPr>
      <w:r>
        <w:t xml:space="preserve">Management had already reduced the quarterly dividend by</w:t>
      </w:r>
      <w:r>
        <w:t xml:space="preserve"> </w:t>
      </w:r>
      <w:r>
        <w:rPr>
          <w:b/>
          <w:bCs/>
        </w:rPr>
        <w:t xml:space="preserve">50%</w:t>
      </w:r>
      <w:r>
        <w:t xml:space="preserve"> </w:t>
      </w:r>
      <w:r>
        <w:t xml:space="preserve">in early 2026, making clear that balance-sheet protection and debt repayment are higher priorities than buybacks or aggressive shareholder distributions.</w:t>
      </w:r>
    </w:p>
    <w:p>
      <w:pPr>
        <w:pStyle w:val="BodyText"/>
      </w:pPr>
      <w:r>
        <w:t xml:space="preserve">For 2Q, a further working-capital build is likely because higher prices and volumes require more receivables and inventory investment. That is economically rational if margins are strong, but investors will want confirmation that higher EBITDA is converting to cash and not being fully absorbed by working capital.</w:t>
      </w:r>
    </w:p>
    <w:p>
      <w:r>
        <w:pict>
          <v:rect style="width:0;height:1.5pt" o:hralign="center" o:hrstd="t" o:hr="t"/>
        </w:pict>
      </w:r>
    </w:p>
    <w:bookmarkEnd w:id="17"/>
    <w:bookmarkStart w:id="18" w:name="Xdd821820d52ec42007de8a9d1741b4f95e4b9f9"/>
    <w:p>
      <w:pPr>
        <w:pStyle w:val="Heading2"/>
      </w:pPr>
      <w:r>
        <w:t xml:space="preserve">Key debate for the call: how durable is the margin reset?</w:t>
      </w:r>
    </w:p>
    <w:p>
      <w:pPr>
        <w:pStyle w:val="FirstParagraph"/>
      </w:pPr>
      <w:r>
        <w:t xml:space="preserve">Management’s 1Q message was unusually constructive: it argued that supply disruptions, logistics constraints, higher crude risk premiums, and potentially permanent capacity rationalization could support a steeper petrochemical cost curve for multiple quarters.</w:t>
      </w:r>
    </w:p>
    <w:p>
      <w:pPr>
        <w:pStyle w:val="BodyText"/>
      </w:pPr>
      <w:r>
        <w:t xml:space="preserve">The buy-side debate is likely to center on whether this is:</w:t>
      </w:r>
    </w:p>
    <w:p>
      <w:pPr>
        <w:pStyle w:val="Compact"/>
        <w:numPr>
          <w:ilvl w:val="0"/>
          <w:numId w:val="1009"/>
        </w:numPr>
      </w:pPr>
      <w:r>
        <w:rPr>
          <w:b/>
          <w:bCs/>
        </w:rPr>
        <w:t xml:space="preserve">a multi-quarter structural improvement</w:t>
      </w:r>
      <w:r>
        <w:t xml:space="preserve"> </w:t>
      </w:r>
      <w:r>
        <w:t xml:space="preserve">in PE, PP, oxyfuels, and European polymer profitability; or</w:t>
      </w:r>
    </w:p>
    <w:p>
      <w:pPr>
        <w:pStyle w:val="Compact"/>
        <w:numPr>
          <w:ilvl w:val="0"/>
          <w:numId w:val="1009"/>
        </w:numPr>
      </w:pPr>
      <w:r>
        <w:rPr>
          <w:b/>
          <w:bCs/>
        </w:rPr>
        <w:t xml:space="preserve">a short-lived disruption-driven spike</w:t>
      </w:r>
      <w:r>
        <w:t xml:space="preserve"> </w:t>
      </w:r>
      <w:r>
        <w:t xml:space="preserve">that normalizes as disrupted supply returns, imports recover, and high prices ultimately pressure demand.</w:t>
      </w:r>
    </w:p>
    <w:p>
      <w:pPr>
        <w:pStyle w:val="FirstParagraph"/>
      </w:pPr>
      <w:r>
        <w:t xml:space="preserve">Management’s answer on 3Q order books, pricing retention, export availability, industry operating rates, and customer demand will likely matter more for the stock than the reported 2Q EPS number.</w:t>
      </w:r>
    </w:p>
    <w:p>
      <w:r>
        <w:pict>
          <v:rect style="width:0;height:1.5pt" o:hralign="center" o:hrstd="t" o:hr="t"/>
        </w:pict>
      </w:r>
    </w:p>
    <w:bookmarkEnd w:id="18"/>
    <w:bookmarkStart w:id="19" w:name="risks-going-into-the-release"/>
    <w:p>
      <w:pPr>
        <w:pStyle w:val="Heading2"/>
      </w:pPr>
      <w:r>
        <w:t xml:space="preserve">Risks going into the release</w:t>
      </w:r>
    </w:p>
    <w:p>
      <w:pPr>
        <w:pStyle w:val="Compact"/>
        <w:numPr>
          <w:ilvl w:val="0"/>
          <w:numId w:val="1010"/>
        </w:numPr>
      </w:pPr>
      <w:r>
        <w:rPr>
          <w:b/>
          <w:bCs/>
        </w:rPr>
        <w:t xml:space="preserve">Price realization risk:</w:t>
      </w:r>
      <w:r>
        <w:t xml:space="preserve"> </w:t>
      </w:r>
      <w:r>
        <w:t xml:space="preserve">Announced PE and PP increases may not fully translate into realized quarterly pricing.</w:t>
      </w:r>
    </w:p>
    <w:p>
      <w:pPr>
        <w:pStyle w:val="Compact"/>
        <w:numPr>
          <w:ilvl w:val="0"/>
          <w:numId w:val="1010"/>
        </w:numPr>
      </w:pPr>
      <w:r>
        <w:rPr>
          <w:b/>
          <w:bCs/>
        </w:rPr>
        <w:t xml:space="preserve">Bayport execution:</w:t>
      </w:r>
      <w:r>
        <w:t xml:space="preserve"> </w:t>
      </w:r>
      <w:r>
        <w:t xml:space="preserve">A delayed or uneven restart would reduce I&amp;D earnings and limit 3Q upside.</w:t>
      </w:r>
    </w:p>
    <w:p>
      <w:pPr>
        <w:pStyle w:val="Compact"/>
        <w:numPr>
          <w:ilvl w:val="0"/>
          <w:numId w:val="1010"/>
        </w:numPr>
      </w:pPr>
      <w:r>
        <w:rPr>
          <w:b/>
          <w:bCs/>
        </w:rPr>
        <w:t xml:space="preserve">Demand destruction:</w:t>
      </w:r>
      <w:r>
        <w:t xml:space="preserve"> </w:t>
      </w:r>
      <w:r>
        <w:t xml:space="preserve">Higher polymer prices may eventually affect discretionary and durable-goods demand.</w:t>
      </w:r>
    </w:p>
    <w:p>
      <w:pPr>
        <w:pStyle w:val="Compact"/>
        <w:numPr>
          <w:ilvl w:val="0"/>
          <w:numId w:val="1010"/>
        </w:numPr>
      </w:pPr>
      <w:r>
        <w:rPr>
          <w:b/>
          <w:bCs/>
        </w:rPr>
        <w:t xml:space="preserve">Working-capital drag:</w:t>
      </w:r>
      <w:r>
        <w:t xml:space="preserve"> </w:t>
      </w:r>
      <w:r>
        <w:t xml:space="preserve">Strong earnings may not immediately generate strong free cash flow.</w:t>
      </w:r>
    </w:p>
    <w:p>
      <w:pPr>
        <w:pStyle w:val="Compact"/>
        <w:numPr>
          <w:ilvl w:val="0"/>
          <w:numId w:val="1010"/>
        </w:numPr>
      </w:pPr>
      <w:r>
        <w:rPr>
          <w:b/>
          <w:bCs/>
        </w:rPr>
        <w:t xml:space="preserve">Europe volatility:</w:t>
      </w:r>
      <w:r>
        <w:t xml:space="preserve"> </w:t>
      </w:r>
      <w:r>
        <w:t xml:space="preserve">Feedstock costs, import availability, and the divestiture-related charge can create both economic and accounting noise.</w:t>
      </w:r>
    </w:p>
    <w:p>
      <w:pPr>
        <w:pStyle w:val="Compact"/>
        <w:numPr>
          <w:ilvl w:val="0"/>
          <w:numId w:val="1010"/>
        </w:numPr>
      </w:pPr>
      <w:r>
        <w:rPr>
          <w:b/>
          <w:bCs/>
        </w:rPr>
        <w:t xml:space="preserve">Technology normalization:</w:t>
      </w:r>
      <w:r>
        <w:t xml:space="preserve"> </w:t>
      </w:r>
      <w:r>
        <w:t xml:space="preserve">A sequential rebound in 2Q could be followed by renewed weakness if licensing demand stays subdued.</w:t>
      </w:r>
    </w:p>
    <w:p>
      <w:pPr>
        <w:pStyle w:val="Compact"/>
        <w:numPr>
          <w:ilvl w:val="0"/>
          <w:numId w:val="1010"/>
        </w:numPr>
      </w:pPr>
      <w:r>
        <w:rPr>
          <w:b/>
          <w:bCs/>
        </w:rPr>
        <w:t xml:space="preserve">Geopolitical reversal:</w:t>
      </w:r>
      <w:r>
        <w:t xml:space="preserve"> </w:t>
      </w:r>
      <w:r>
        <w:t xml:space="preserve">Any easing in supply disruptions could reduce the pricing support that underpins the bullish case.</w:t>
      </w:r>
    </w:p>
    <w:p>
      <w:r>
        <w:pict>
          <v:rect style="width:0;height:1.5pt" o:hralign="center" o:hrstd="t" o:hr="t"/>
        </w:pict>
      </w:r>
    </w:p>
    <w:bookmarkEnd w:id="19"/>
    <w:bookmarkStart w:id="20" w:name="stock-setup"/>
    <w:p>
      <w:pPr>
        <w:pStyle w:val="Heading2"/>
      </w:pPr>
      <w:r>
        <w:t xml:space="preserve">Stock setup</w:t>
      </w:r>
    </w:p>
    <w:p>
      <w:pPr>
        <w:pStyle w:val="FirstParagraph"/>
      </w:pPr>
      <w:r>
        <w:t xml:space="preserve">LYB closed at</w:t>
      </w:r>
      <w:r>
        <w:t xml:space="preserve"> </w:t>
      </w:r>
      <w:r>
        <w:rPr>
          <w:b/>
          <w:bCs/>
        </w:rPr>
        <w:t xml:space="preserve">$60.46 on July 30, 2026</w:t>
      </w:r>
      <w:r>
        <w:t xml:space="preserve">. The shares are down roughly</w:t>
      </w:r>
      <w:r>
        <w:t xml:space="preserve"> </w:t>
      </w:r>
      <w:r>
        <w:rPr>
          <w:b/>
          <w:bCs/>
        </w:rPr>
        <w:t xml:space="preserve">10% from their June 1 close</w:t>
      </w:r>
      <w:r>
        <w:t xml:space="preserve">, though they recovered almost</w:t>
      </w:r>
      <w:r>
        <w:t xml:space="preserve"> </w:t>
      </w:r>
      <w:r>
        <w:rPr>
          <w:b/>
          <w:bCs/>
        </w:rPr>
        <w:t xml:space="preserve">15% from the June 30 low</w:t>
      </w:r>
      <w:r>
        <w:t xml:space="preserve"> </w:t>
      </w:r>
      <w:r>
        <w:t xml:space="preserve">into the report.</w:t>
      </w:r>
    </w:p>
    <w:p>
      <w:pPr>
        <w:pStyle w:val="BodyText"/>
      </w:pPr>
      <w:r>
        <w:t xml:space="preserve">That setup suggests investors are acknowledging a better near-term earnings environment but remain skeptical about the duration of the uplift, the balance-sheet path, and the degree to which the company can convert improved market conditions into sustainable free cash flow.</w:t>
      </w:r>
    </w:p>
    <w:p>
      <w:r>
        <w:pict>
          <v:rect style="width:0;height:1.5pt" o:hralign="center" o:hrstd="t" o:hr="t"/>
        </w:pict>
      </w:r>
    </w:p>
    <w:bookmarkEnd w:id="20"/>
    <w:bookmarkStart w:id="21" w:name="bottom-line"/>
    <w:p>
      <w:pPr>
        <w:pStyle w:val="Heading2"/>
      </w:pPr>
      <w:r>
        <w:t xml:space="preserve">Bottom line</w:t>
      </w:r>
    </w:p>
    <w:p>
      <w:pPr>
        <w:pStyle w:val="FirstParagraph"/>
      </w:pPr>
      <w:r>
        <w:rPr>
          <w:b/>
          <w:bCs/>
        </w:rPr>
        <w:t xml:space="preserve">The 2Q setup is favorable, with O&amp;P-Americas the clearest earnings lever and I&amp;D/Technology potential incremental contributors.</w:t>
      </w:r>
      <w:r>
        <w:t xml:space="preserve"> </w:t>
      </w:r>
      <w:r>
        <w:t xml:space="preserve">The report should show a significant sequential improvement in underlying profitability. However, the highest-value information will be the forward outlook:</w:t>
      </w:r>
    </w:p>
    <w:p>
      <w:pPr>
        <w:pStyle w:val="Compact"/>
        <w:numPr>
          <w:ilvl w:val="0"/>
          <w:numId w:val="1011"/>
        </w:numPr>
      </w:pPr>
      <w:r>
        <w:t xml:space="preserve">Are PE and PP price gains sticking?</w:t>
      </w:r>
    </w:p>
    <w:p>
      <w:pPr>
        <w:pStyle w:val="Compact"/>
        <w:numPr>
          <w:ilvl w:val="0"/>
          <w:numId w:val="1011"/>
        </w:numPr>
      </w:pPr>
      <w:r>
        <w:t xml:space="preserve">Is Bayport fully back and capable of running at benchmark rates?</w:t>
      </w:r>
    </w:p>
    <w:p>
      <w:pPr>
        <w:pStyle w:val="Compact"/>
        <w:numPr>
          <w:ilvl w:val="0"/>
          <w:numId w:val="1011"/>
        </w:numPr>
      </w:pPr>
      <w:r>
        <w:t xml:space="preserve">Can Europe turn operationally profitable after the portfolio reshaping?</w:t>
      </w:r>
    </w:p>
    <w:p>
      <w:pPr>
        <w:pStyle w:val="Compact"/>
        <w:numPr>
          <w:ilvl w:val="0"/>
          <w:numId w:val="1011"/>
        </w:numPr>
      </w:pPr>
      <w:r>
        <w:t xml:space="preserve">Does 3Q maintain elevated utilization and margins?</w:t>
      </w:r>
    </w:p>
    <w:p>
      <w:pPr>
        <w:pStyle w:val="Compact"/>
        <w:numPr>
          <w:ilvl w:val="0"/>
          <w:numId w:val="1011"/>
        </w:numPr>
      </w:pPr>
      <w:r>
        <w:t xml:space="preserve">Is cash generation improving despite working-capital needs and the European divestiture?</w:t>
      </w:r>
    </w:p>
    <w:p>
      <w:pPr>
        <w:pStyle w:val="FirstParagraph"/>
      </w:pPr>
      <w:r>
        <w:t xml:space="preserve">A report that confirms strong price capture, high U.S. utilization, a clean Bayport restart, and sustained 3Q supply tightness would support a materially stronger earnings-power narrative. A weaker read on price retention or a disappointing cash outlook would reinforce the view that 2Q is a transient cyclical peak rather than the beginning of a more durable recovery.</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2026-07-31T00:37:05Z</dcterms:created>
  <dcterms:modified xsi:type="dcterms:W3CDTF">2026-07-31T00:37:05Z</dcterms:modified>
</cp:coreProperties>
</file>

<file path=docProps/custom.xml><?xml version="1.0" encoding="utf-8"?>
<Properties xmlns="http://schemas.openxmlformats.org/officeDocument/2006/custom-properties" xmlns:vt="http://schemas.openxmlformats.org/officeDocument/2006/docPropsVTypes"/>
</file>