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LyondellBasell Industries (LYB)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LyondellBasell Industries N.V.</w:t>
            </w:r>
          </w:p>
        </w:tc>
      </w:tr>
      <w:tr>
        <w:tc>
          <w:tcPr>
            <w:tcW w:type="dxa" w:w="4320"/>
          </w:tcPr>
          <w:p>
            <w:r>
              <w:rPr>
                <w:rFonts w:ascii="Calibri" w:hAnsi="Calibri"/>
                <w:b/>
                <w:sz w:val="22"/>
              </w:rPr>
              <w:t>Ticker</w:t>
            </w:r>
          </w:p>
        </w:tc>
        <w:tc>
          <w:tcPr>
            <w:tcW w:type="dxa" w:w="4320"/>
          </w:tcPr>
          <w:p>
            <w:r>
              <w:rPr>
                <w:rFonts w:ascii="Calibri" w:hAnsi="Calibri"/>
                <w:sz w:val="22"/>
              </w:rPr>
              <w:t>NYSE: LYB</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31, 2026 — Before Market Open | Conference Call 11:00 AM ET</w:t>
            </w:r>
          </w:p>
        </w:tc>
      </w:tr>
      <w:tr>
        <w:tc>
          <w:tcPr>
            <w:tcW w:type="dxa" w:w="4320"/>
          </w:tcPr>
          <w:p>
            <w:r>
              <w:rPr>
                <w:rFonts w:ascii="Calibri" w:hAnsi="Calibri"/>
                <w:b/>
                <w:sz w:val="22"/>
              </w:rPr>
              <w:t>Prepared</w:t>
            </w:r>
          </w:p>
        </w:tc>
        <w:tc>
          <w:tcPr>
            <w:tcW w:type="dxa" w:w="4320"/>
          </w:tcPr>
          <w:p>
            <w:r>
              <w:rPr>
                <w:rFonts w:ascii="Calibri" w:hAnsi="Calibri"/>
                <w:sz w:val="22"/>
              </w:rPr>
              <w:t>July 30, 2026</w:t>
            </w:r>
          </w:p>
        </w:tc>
      </w:tr>
      <w:tr>
        <w:tc>
          <w:tcPr>
            <w:tcW w:type="dxa" w:w="4320"/>
          </w:tcPr>
          <w:p>
            <w:r>
              <w:rPr>
                <w:rFonts w:ascii="Calibri" w:hAnsi="Calibri"/>
                <w:b/>
                <w:sz w:val="22"/>
              </w:rPr>
              <w:t>Sector ETF Benchmark</w:t>
            </w:r>
          </w:p>
        </w:tc>
        <w:tc>
          <w:tcPr>
            <w:tcW w:type="dxa" w:w="4320"/>
          </w:tcPr>
          <w:p>
            <w:r>
              <w:rPr>
                <w:rFonts w:ascii="Calibri" w:hAnsi="Calibri"/>
                <w:sz w:val="22"/>
              </w:rPr>
              <w:t>XLB (Materials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skewed to beat — consensus at ~$3.40 diluted operating EPS is a low bar relative to the structural tailwinds management flagged on the Q1 call, but the stock has already given back nearly all of its post-conflict rally, meaning the market is pricing in meaningful sequential deceleration; the single biggest swing factor is whether the </w:t>
      </w:r>
      <w:r>
        <w:rPr>
          <w:rFonts w:ascii="Calibri" w:hAnsi="Calibri"/>
          <w:b/>
          <w:color w:val="525866"/>
          <w:sz w:val="22"/>
        </w:rPr>
        <w:t>$0.50/lb cumulative PE price increase</w:t>
      </w:r>
      <w:r>
        <w:rPr>
          <w:rFonts w:ascii="Calibri" w:hAnsi="Calibri"/>
          <w:color w:val="525866"/>
          <w:sz w:val="22"/>
        </w:rPr>
        <w:t xml:space="preserve"> announced for April/May actually flowed through to realized margins, and whether Bayport PO/TBA restarted on schedule.</w:t>
      </w:r>
    </w:p>
    <w:p>
      <w:r>
        <w:rPr>
          <w:rFonts w:ascii="Calibri" w:hAnsi="Calibri"/>
          <w:color w:val="525866"/>
          <w:sz w:val="22"/>
        </w:rPr>
        <w:t xml:space="preserve">Heading into Q2 2026 results, the bar for LYB looks achievable but not trivial. Consensus operating EBITDA of ~$1.78B and diluted operating EPS of ~$3.40 represent a massive sequential step-up from Q1’s $615M EBITDA and $0.49 EPS — a step-up that management explicitly guided for on May 1, citing 90% utilization targets in O&amp;P Americas, 80% in O&amp;P EAI, and a confident tone on price realization. The estimate trajectory has been broadly stable since the Q1 print (consensus EPS moved only modestly from $3.37 to $3.40), suggesting the Street has largely digested management’s bullish Q2 setup without adding further upside. The stock, however, has dramatically underperformed: LYB is down </w:t>
      </w:r>
      <w:r>
        <w:rPr>
          <w:rFonts w:ascii="Calibri" w:hAnsi="Calibri"/>
          <w:b/>
          <w:color w:val="525866"/>
          <w:sz w:val="22"/>
        </w:rPr>
        <w:t>~19% since Q1 earnings</w:t>
      </w:r>
      <w:r>
        <w:rPr>
          <w:rFonts w:ascii="Calibri" w:hAnsi="Calibri"/>
          <w:color w:val="525866"/>
          <w:sz w:val="22"/>
        </w:rPr>
        <w:t xml:space="preserve"> vs. XLB flat and SPY +3%, implying the market has grown skeptical of the durability of conflict-driven pricing — a dynamic confirmed by DOW’s Q2 print (reported July 23) which showed PE prices settling $0.15/lb lower in June and guided Q3 EBITDA down ~26% sequentially. The key wildcard is the </w:t>
      </w:r>
      <w:r>
        <w:rPr>
          <w:rFonts w:ascii="Calibri" w:hAnsi="Calibri"/>
          <w:b/>
          <w:color w:val="525866"/>
          <w:sz w:val="22"/>
        </w:rPr>
        <w:t>Bayport PO/TBA restart</w:t>
      </w:r>
      <w:r>
        <w:rPr>
          <w:rFonts w:ascii="Calibri" w:hAnsi="Calibri"/>
          <w:color w:val="525866"/>
          <w:sz w:val="22"/>
        </w:rPr>
        <w:t xml:space="preserve"> (guided for end of Q2, ~$25M/week earnings drag while down) and whether the $0.50/lb PE price increase was fully realized before the June settlement, which DOW confirmed was $0.15/lb lower — if LYB captured the full April/May increase before the June rollback, Q2 EBITDA could surprise to the upside; if the June settlement hit harder than expected, the miss risk is real.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EBITDA of ~$1.78B implies a near-tripling sequentially from Q1’s $615M — a high absolute bar but one management explicitly guided toward; the bigger swing factor is </w:t>
      </w:r>
      <w:r>
        <w:rPr>
          <w:rFonts w:ascii="Calibri" w:hAnsi="Calibri"/>
          <w:b/>
          <w:color w:val="525866"/>
          <w:sz w:val="22"/>
        </w:rPr>
        <w:t>O&amp;P Americas EBITDA</w:t>
      </w:r>
      <w:r>
        <w:rPr>
          <w:rFonts w:ascii="Calibri" w:hAnsi="Calibri"/>
          <w:color w:val="525866"/>
          <w:sz w:val="22"/>
        </w:rPr>
        <w:t xml:space="preserve"> (consensus ~$1.07B), which hinges on PE price realization and operating rate execution, while I&amp;D remains a wildcard given the Bayport outage.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 (Q1 Call)</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($B)</w:t>
            </w:r>
          </w:p>
        </w:tc>
        <w:tc>
          <w:tcPr>
            <w:tcW w:type="dxa" w:w="1234"/>
          </w:tcPr>
          <w:p>
            <w:r>
              <w:rPr>
                <w:rFonts w:ascii="Calibri" w:hAnsi="Calibri"/>
                <w:sz w:val="22"/>
              </w:rPr>
              <w:t>$7.20B</w:t>
            </w:r>
          </w:p>
        </w:tc>
        <w:tc>
          <w:tcPr>
            <w:tcW w:type="dxa" w:w="1234"/>
          </w:tcPr>
          <w:p>
            <w:r>
              <w:rPr>
                <w:rFonts w:ascii="Calibri" w:hAnsi="Calibri"/>
                <w:sz w:val="22"/>
              </w:rPr>
              <w:t>$7.66B</w:t>
            </w:r>
          </w:p>
        </w:tc>
        <w:tc>
          <w:tcPr>
            <w:tcW w:type="dxa" w:w="1234"/>
          </w:tcPr>
          <w:p>
            <w:r>
              <w:rPr>
                <w:rFonts w:ascii="Calibri" w:hAnsi="Calibri"/>
                <w:sz w:val="22"/>
              </w:rPr>
              <w:t>$9.16B</w:t>
            </w:r>
          </w:p>
        </w:tc>
        <w:tc>
          <w:tcPr>
            <w:tcW w:type="dxa" w:w="1234"/>
          </w:tcPr>
          <w:p>
            <w:r>
              <w:rPr>
                <w:rFonts w:ascii="Calibri" w:hAnsi="Calibri"/>
                <w:sz w:val="22"/>
              </w:rPr>
              <w:t>+19.6% YoY</w:t>
            </w:r>
          </w:p>
        </w:tc>
        <w:tc>
          <w:tcPr>
            <w:tcW w:type="dxa" w:w="1234"/>
          </w:tcPr>
          <w:p>
            <w:r>
              <w:rPr>
                <w:rFonts w:ascii="Calibri" w:hAnsi="Calibri"/>
                <w:sz w:val="22"/>
              </w:rPr>
              <w:t>Higher prices &amp; volumes; 90% utilization O&amp;P Americas</w:t>
            </w:r>
          </w:p>
        </w:tc>
        <w:tc>
          <w:tcPr>
            <w:tcW w:type="dxa" w:w="1234"/>
          </w:tcPr>
          <w:p>
            <w:r>
              <w:rPr>
                <w:rFonts w:ascii="Calibri" w:hAnsi="Calibri"/>
                <w:sz w:val="22"/>
              </w:rPr>
              <w:t>Directionally in line</w:t>
            </w:r>
          </w:p>
        </w:tc>
      </w:tr>
      <w:tr>
        <w:tc>
          <w:tcPr>
            <w:tcW w:type="dxa" w:w="1234"/>
          </w:tcPr>
          <w:p>
            <w:r>
              <w:rPr>
                <w:rFonts w:ascii="Calibri" w:hAnsi="Calibri"/>
                <w:sz w:val="22"/>
              </w:rPr>
              <w:t>EBITDA – Operating ($B)</w:t>
            </w:r>
          </w:p>
        </w:tc>
        <w:tc>
          <w:tcPr>
            <w:tcW w:type="dxa" w:w="1234"/>
          </w:tcPr>
          <w:p>
            <w:r>
              <w:rPr>
                <w:rFonts w:ascii="Calibri" w:hAnsi="Calibri"/>
                <w:sz w:val="22"/>
              </w:rPr>
              <w:t>$0.615B</w:t>
            </w:r>
          </w:p>
        </w:tc>
        <w:tc>
          <w:tcPr>
            <w:tcW w:type="dxa" w:w="1234"/>
          </w:tcPr>
          <w:p>
            <w:r>
              <w:rPr>
                <w:rFonts w:ascii="Calibri" w:hAnsi="Calibri"/>
                <w:sz w:val="22"/>
              </w:rPr>
              <w:t>$0.715B</w:t>
            </w:r>
          </w:p>
        </w:tc>
        <w:tc>
          <w:tcPr>
            <w:tcW w:type="dxa" w:w="1234"/>
          </w:tcPr>
          <w:p>
            <w:r>
              <w:rPr>
                <w:rFonts w:ascii="Calibri" w:hAnsi="Calibri"/>
                <w:sz w:val="22"/>
              </w:rPr>
              <w:t>$1.780B</w:t>
            </w:r>
          </w:p>
        </w:tc>
        <w:tc>
          <w:tcPr>
            <w:tcW w:type="dxa" w:w="1234"/>
          </w:tcPr>
          <w:p>
            <w:r>
              <w:rPr>
                <w:rFonts w:ascii="Calibri" w:hAnsi="Calibri"/>
                <w:sz w:val="22"/>
              </w:rPr>
              <w:t>+149% YoY</w:t>
            </w:r>
          </w:p>
        </w:tc>
        <w:tc>
          <w:tcPr>
            <w:tcW w:type="dxa" w:w="1234"/>
          </w:tcPr>
          <w:p>
            <w:r>
              <w:rPr>
                <w:rFonts w:ascii="Calibri" w:hAnsi="Calibri"/>
                <w:sz w:val="22"/>
              </w:rPr>
              <w:t>Significant further sequential improvement across nearly all businesses</w:t>
            </w:r>
          </w:p>
        </w:tc>
        <w:tc>
          <w:tcPr>
            <w:tcW w:type="dxa" w:w="1234"/>
          </w:tcPr>
          <w:p>
            <w:r>
              <w:rPr>
                <w:rFonts w:ascii="Calibri" w:hAnsi="Calibri"/>
                <w:sz w:val="22"/>
              </w:rPr>
              <w:t>Directionally in line</w:t>
            </w:r>
          </w:p>
        </w:tc>
      </w:tr>
      <w:tr>
        <w:tc>
          <w:tcPr>
            <w:tcW w:type="dxa" w:w="1234"/>
          </w:tcPr>
          <w:p>
            <w:r>
              <w:rPr>
                <w:rFonts w:ascii="Calibri" w:hAnsi="Calibri"/>
                <w:sz w:val="22"/>
              </w:rPr>
              <w:t>Diluted EPS – Operating ($)</w:t>
            </w:r>
          </w:p>
        </w:tc>
        <w:tc>
          <w:tcPr>
            <w:tcW w:type="dxa" w:w="1234"/>
          </w:tcPr>
          <w:p>
            <w:r>
              <w:rPr>
                <w:rFonts w:ascii="Calibri" w:hAnsi="Calibri"/>
                <w:sz w:val="22"/>
              </w:rPr>
              <w:t>$0.49</w:t>
            </w:r>
          </w:p>
        </w:tc>
        <w:tc>
          <w:tcPr>
            <w:tcW w:type="dxa" w:w="1234"/>
          </w:tcPr>
          <w:p>
            <w:r>
              <w:rPr>
                <w:rFonts w:ascii="Calibri" w:hAnsi="Calibri"/>
                <w:sz w:val="22"/>
              </w:rPr>
              <w:t>$0.62</w:t>
            </w:r>
          </w:p>
        </w:tc>
        <w:tc>
          <w:tcPr>
            <w:tcW w:type="dxa" w:w="1234"/>
          </w:tcPr>
          <w:p>
            <w:r>
              <w:rPr>
                <w:rFonts w:ascii="Calibri" w:hAnsi="Calibri"/>
                <w:sz w:val="22"/>
              </w:rPr>
              <w:t>$3.40</w:t>
            </w:r>
          </w:p>
        </w:tc>
        <w:tc>
          <w:tcPr>
            <w:tcW w:type="dxa" w:w="1234"/>
          </w:tcPr>
          <w:p>
            <w:r>
              <w:rPr>
                <w:rFonts w:ascii="Calibri" w:hAnsi="Calibri"/>
                <w:sz w:val="22"/>
              </w:rPr>
              <w:t>+446% YoY</w:t>
            </w:r>
          </w:p>
        </w:tc>
        <w:tc>
          <w:tcPr>
            <w:tcW w:type="dxa" w:w="1234"/>
          </w:tcPr>
          <w:p>
            <w:r>
              <w:rPr>
                <w:rFonts w:ascii="Calibri" w:hAnsi="Calibri"/>
                <w:sz w:val="22"/>
              </w:rPr>
              <w:t>No specific EPS guidance; implied by EBITDA outlook</w:t>
            </w:r>
          </w:p>
        </w:tc>
        <w:tc>
          <w:tcPr>
            <w:tcW w:type="dxa" w:w="1234"/>
          </w:tcPr>
          <w:p>
            <w:r>
              <w:rPr>
                <w:rFonts w:ascii="Calibri" w:hAnsi="Calibri"/>
                <w:sz w:val="22"/>
              </w:rPr>
              <w:t>N/A</w:t>
            </w:r>
          </w:p>
        </w:tc>
      </w:tr>
      <w:tr>
        <w:tc>
          <w:tcPr>
            <w:tcW w:type="dxa" w:w="1234"/>
          </w:tcPr>
          <w:p>
            <w:r>
              <w:rPr>
                <w:rFonts w:ascii="Calibri" w:hAnsi="Calibri"/>
                <w:sz w:val="22"/>
              </w:rPr>
              <w:t>EBITDA – O&amp;P Americas ($B)</w:t>
            </w:r>
          </w:p>
        </w:tc>
        <w:tc>
          <w:tcPr>
            <w:tcW w:type="dxa" w:w="1234"/>
          </w:tcPr>
          <w:p>
            <w:r>
              <w:rPr>
                <w:rFonts w:ascii="Calibri" w:hAnsi="Calibri"/>
                <w:sz w:val="22"/>
              </w:rPr>
              <w:t>$0.327B</w:t>
            </w:r>
          </w:p>
        </w:tc>
        <w:tc>
          <w:tcPr>
            <w:tcW w:type="dxa" w:w="1234"/>
          </w:tcPr>
          <w:p>
            <w:r>
              <w:rPr>
                <w:rFonts w:ascii="Calibri" w:hAnsi="Calibri"/>
                <w:sz w:val="22"/>
              </w:rPr>
              <w:t>$0.318B</w:t>
            </w:r>
          </w:p>
        </w:tc>
        <w:tc>
          <w:tcPr>
            <w:tcW w:type="dxa" w:w="1234"/>
          </w:tcPr>
          <w:p>
            <w:r>
              <w:rPr>
                <w:rFonts w:ascii="Calibri" w:hAnsi="Calibri"/>
                <w:sz w:val="22"/>
              </w:rPr>
              <w:t>$1.070B</w:t>
            </w:r>
          </w:p>
        </w:tc>
        <w:tc>
          <w:tcPr>
            <w:tcW w:type="dxa" w:w="1234"/>
          </w:tcPr>
          <w:p>
            <w:r>
              <w:rPr>
                <w:rFonts w:ascii="Calibri" w:hAnsi="Calibri"/>
                <w:sz w:val="22"/>
              </w:rPr>
              <w:t>+236% YoY</w:t>
            </w:r>
          </w:p>
        </w:tc>
        <w:tc>
          <w:tcPr>
            <w:tcW w:type="dxa" w:w="1234"/>
          </w:tcPr>
          <w:p>
            <w:r>
              <w:rPr>
                <w:rFonts w:ascii="Calibri" w:hAnsi="Calibri"/>
                <w:sz w:val="22"/>
              </w:rPr>
              <w:t>Higher margins &amp; volumes; 90% utilization; PE orders 20% above pre-war avg</w:t>
            </w:r>
          </w:p>
        </w:tc>
        <w:tc>
          <w:tcPr>
            <w:tcW w:type="dxa" w:w="1234"/>
          </w:tcPr>
          <w:p>
            <w:r>
              <w:rPr>
                <w:rFonts w:ascii="Calibri" w:hAnsi="Calibri"/>
                <w:sz w:val="22"/>
              </w:rPr>
              <w:t>Directionally in line</w:t>
            </w:r>
          </w:p>
        </w:tc>
      </w:tr>
      <w:tr>
        <w:tc>
          <w:tcPr>
            <w:tcW w:type="dxa" w:w="1234"/>
          </w:tcPr>
          <w:p>
            <w:r>
              <w:rPr>
                <w:rFonts w:ascii="Calibri" w:hAnsi="Calibri"/>
                <w:sz w:val="22"/>
              </w:rPr>
              <w:t>EBITDA – O&amp;P EAI ($M)</w:t>
            </w:r>
          </w:p>
        </w:tc>
        <w:tc>
          <w:tcPr>
            <w:tcW w:type="dxa" w:w="1234"/>
          </w:tcPr>
          <w:p>
            <w:r>
              <w:rPr>
                <w:rFonts w:ascii="Calibri" w:hAnsi="Calibri"/>
                <w:sz w:val="22"/>
              </w:rPr>
              <w:t>-$6M</w:t>
            </w:r>
          </w:p>
        </w:tc>
        <w:tc>
          <w:tcPr>
            <w:tcW w:type="dxa" w:w="1234"/>
          </w:tcPr>
          <w:p>
            <w:r>
              <w:rPr>
                <w:rFonts w:ascii="Calibri" w:hAnsi="Calibri"/>
                <w:sz w:val="22"/>
              </w:rPr>
              <w:t>$46M</w:t>
            </w:r>
          </w:p>
        </w:tc>
        <w:tc>
          <w:tcPr>
            <w:tcW w:type="dxa" w:w="1234"/>
          </w:tcPr>
          <w:p>
            <w:r>
              <w:rPr>
                <w:rFonts w:ascii="Calibri" w:hAnsi="Calibri"/>
                <w:sz w:val="22"/>
              </w:rPr>
              <w:t>$268M</w:t>
            </w:r>
          </w:p>
        </w:tc>
        <w:tc>
          <w:tcPr>
            <w:tcW w:type="dxa" w:w="1234"/>
          </w:tcPr>
          <w:p>
            <w:r>
              <w:rPr>
                <w:rFonts w:ascii="Calibri" w:hAnsi="Calibri"/>
                <w:sz w:val="22"/>
              </w:rPr>
              <w:t>+483% YoY</w:t>
            </w:r>
          </w:p>
        </w:tc>
        <w:tc>
          <w:tcPr>
            <w:tcW w:type="dxa" w:w="1234"/>
          </w:tcPr>
          <w:p>
            <w:r>
              <w:rPr>
                <w:rFonts w:ascii="Calibri" w:hAnsi="Calibri"/>
                <w:sz w:val="22"/>
              </w:rPr>
              <w:t>~80% operating rates; polymer margins improving as higher costs passed through</w:t>
            </w:r>
          </w:p>
        </w:tc>
        <w:tc>
          <w:tcPr>
            <w:tcW w:type="dxa" w:w="1234"/>
          </w:tcPr>
          <w:p>
            <w:r>
              <w:rPr>
                <w:rFonts w:ascii="Calibri" w:hAnsi="Calibri"/>
                <w:sz w:val="22"/>
              </w:rPr>
              <w:t>Directionally in line</w:t>
            </w:r>
          </w:p>
        </w:tc>
      </w:tr>
      <w:tr>
        <w:tc>
          <w:tcPr>
            <w:tcW w:type="dxa" w:w="1234"/>
          </w:tcPr>
          <w:p>
            <w:r>
              <w:rPr>
                <w:rFonts w:ascii="Calibri" w:hAnsi="Calibri"/>
                <w:sz w:val="22"/>
              </w:rPr>
              <w:t>EBITDA – I&amp;D ($M)</w:t>
            </w:r>
          </w:p>
        </w:tc>
        <w:tc>
          <w:tcPr>
            <w:tcW w:type="dxa" w:w="1234"/>
          </w:tcPr>
          <w:p>
            <w:r>
              <w:rPr>
                <w:rFonts w:ascii="Calibri" w:hAnsi="Calibri"/>
                <w:sz w:val="22"/>
              </w:rPr>
              <w:t>$224M</w:t>
            </w:r>
          </w:p>
        </w:tc>
        <w:tc>
          <w:tcPr>
            <w:tcW w:type="dxa" w:w="1234"/>
          </w:tcPr>
          <w:p>
            <w:r>
              <w:rPr>
                <w:rFonts w:ascii="Calibri" w:hAnsi="Calibri"/>
                <w:sz w:val="22"/>
              </w:rPr>
              <w:t>$290M</w:t>
            </w:r>
          </w:p>
        </w:tc>
        <w:tc>
          <w:tcPr>
            <w:tcW w:type="dxa" w:w="1234"/>
          </w:tcPr>
          <w:p>
            <w:r>
              <w:rPr>
                <w:rFonts w:ascii="Calibri" w:hAnsi="Calibri"/>
                <w:sz w:val="22"/>
              </w:rPr>
              <w:t>$337M</w:t>
            </w:r>
          </w:p>
        </w:tc>
        <w:tc>
          <w:tcPr>
            <w:tcW w:type="dxa" w:w="1234"/>
          </w:tcPr>
          <w:p>
            <w:r>
              <w:rPr>
                <w:rFonts w:ascii="Calibri" w:hAnsi="Calibri"/>
                <w:sz w:val="22"/>
              </w:rPr>
              <w:t>+16% YoY</w:t>
            </w:r>
          </w:p>
        </w:tc>
        <w:tc>
          <w:tcPr>
            <w:tcW w:type="dxa" w:w="1234"/>
          </w:tcPr>
          <w:p>
            <w:r>
              <w:rPr>
                <w:rFonts w:ascii="Calibri" w:hAnsi="Calibri"/>
                <w:sz w:val="22"/>
              </w:rPr>
              <w:t>~75% op. rates (Bayport down); favorable performance expected; $25M/wk drag from Bayport</w:t>
            </w:r>
          </w:p>
        </w:tc>
        <w:tc>
          <w:tcPr>
            <w:tcW w:type="dxa" w:w="1234"/>
          </w:tcPr>
          <w:p>
            <w:r>
              <w:rPr>
                <w:rFonts w:ascii="Calibri" w:hAnsi="Calibri"/>
                <w:sz w:val="22"/>
              </w:rPr>
              <w:t>Below potential (Bayport drag)</w:t>
            </w:r>
          </w:p>
        </w:tc>
      </w:tr>
      <w:tr>
        <w:tc>
          <w:tcPr>
            <w:tcW w:type="dxa" w:w="1234"/>
          </w:tcPr>
          <w:p>
            <w:r>
              <w:rPr>
                <w:rFonts w:ascii="Calibri" w:hAnsi="Calibri"/>
                <w:sz w:val="22"/>
              </w:rPr>
              <w:t>EBITDA – APS ($M)</w:t>
            </w:r>
          </w:p>
        </w:tc>
        <w:tc>
          <w:tcPr>
            <w:tcW w:type="dxa" w:w="1234"/>
          </w:tcPr>
          <w:p>
            <w:r>
              <w:rPr>
                <w:rFonts w:ascii="Calibri" w:hAnsi="Calibri"/>
                <w:sz w:val="22"/>
              </w:rPr>
              <w:t>$58M</w:t>
            </w:r>
          </w:p>
        </w:tc>
        <w:tc>
          <w:tcPr>
            <w:tcW w:type="dxa" w:w="1234"/>
          </w:tcPr>
          <w:p>
            <w:r>
              <w:rPr>
                <w:rFonts w:ascii="Calibri" w:hAnsi="Calibri"/>
                <w:sz w:val="22"/>
              </w:rPr>
              <w:t>$40M</w:t>
            </w:r>
          </w:p>
        </w:tc>
        <w:tc>
          <w:tcPr>
            <w:tcW w:type="dxa" w:w="1234"/>
          </w:tcPr>
          <w:p>
            <w:r>
              <w:rPr>
                <w:rFonts w:ascii="Calibri" w:hAnsi="Calibri"/>
                <w:sz w:val="22"/>
              </w:rPr>
              <w:t>$43M</w:t>
            </w:r>
          </w:p>
        </w:tc>
        <w:tc>
          <w:tcPr>
            <w:tcW w:type="dxa" w:w="1234"/>
          </w:tcPr>
          <w:p>
            <w:r>
              <w:rPr>
                <w:rFonts w:ascii="Calibri" w:hAnsi="Calibri"/>
                <w:sz w:val="22"/>
              </w:rPr>
              <w:t>+7% YoY</w:t>
            </w:r>
          </w:p>
        </w:tc>
        <w:tc>
          <w:tcPr>
            <w:tcW w:type="dxa" w:w="1234"/>
          </w:tcPr>
          <w:p>
            <w:r>
              <w:rPr>
                <w:rFonts w:ascii="Calibri" w:hAnsi="Calibri"/>
                <w:sz w:val="22"/>
              </w:rPr>
              <w:t>Soft auto/durable demand; contractual pricing lags pressure margins near-term</w:t>
            </w:r>
          </w:p>
        </w:tc>
        <w:tc>
          <w:tcPr>
            <w:tcW w:type="dxa" w:w="1234"/>
          </w:tcPr>
          <w:p>
            <w:r>
              <w:rPr>
                <w:rFonts w:ascii="Calibri" w:hAnsi="Calibri"/>
                <w:sz w:val="22"/>
              </w:rPr>
              <w:t>Slightly below guidance tone</w:t>
            </w:r>
          </w:p>
        </w:tc>
      </w:tr>
      <w:tr>
        <w:tc>
          <w:tcPr>
            <w:tcW w:type="dxa" w:w="1234"/>
          </w:tcPr>
          <w:p>
            <w:r>
              <w:rPr>
                <w:rFonts w:ascii="Calibri" w:hAnsi="Calibri"/>
                <w:sz w:val="22"/>
              </w:rPr>
              <w:t>EBITDA – Technology ($M)</w:t>
            </w:r>
          </w:p>
        </w:tc>
        <w:tc>
          <w:tcPr>
            <w:tcW w:type="dxa" w:w="1234"/>
          </w:tcPr>
          <w:p>
            <w:r>
              <w:rPr>
                <w:rFonts w:ascii="Calibri" w:hAnsi="Calibri"/>
                <w:sz w:val="22"/>
              </w:rPr>
              <w:t>$18M</w:t>
            </w:r>
          </w:p>
        </w:tc>
        <w:tc>
          <w:tcPr>
            <w:tcW w:type="dxa" w:w="1234"/>
          </w:tcPr>
          <w:p>
            <w:r>
              <w:rPr>
                <w:rFonts w:ascii="Calibri" w:hAnsi="Calibri"/>
                <w:sz w:val="22"/>
              </w:rPr>
              <w:t>$34M</w:t>
            </w:r>
          </w:p>
        </w:tc>
        <w:tc>
          <w:tcPr>
            <w:tcW w:type="dxa" w:w="1234"/>
          </w:tcPr>
          <w:p>
            <w:r>
              <w:rPr>
                <w:rFonts w:ascii="Calibri" w:hAnsi="Calibri"/>
                <w:sz w:val="22"/>
              </w:rPr>
              <w:t>$58M</w:t>
            </w:r>
          </w:p>
        </w:tc>
        <w:tc>
          <w:tcPr>
            <w:tcW w:type="dxa" w:w="1234"/>
          </w:tcPr>
          <w:p>
            <w:r>
              <w:rPr>
                <w:rFonts w:ascii="Calibri" w:hAnsi="Calibri"/>
                <w:sz w:val="22"/>
              </w:rPr>
              <w:t>+71% YoY</w:t>
            </w:r>
          </w:p>
        </w:tc>
        <w:tc>
          <w:tcPr>
            <w:tcW w:type="dxa" w:w="1234"/>
          </w:tcPr>
          <w:p>
            <w:r>
              <w:rPr>
                <w:rFonts w:ascii="Calibri" w:hAnsi="Calibri"/>
                <w:sz w:val="22"/>
              </w:rPr>
              <w:t>Improved results from licensing milestones; slightly below Q4 2025 levels</w:t>
            </w:r>
          </w:p>
        </w:tc>
        <w:tc>
          <w:tcPr>
            <w:tcW w:type="dxa" w:w="1234"/>
          </w:tcPr>
          <w:p>
            <w:r>
              <w:rPr>
                <w:rFonts w:ascii="Calibri" w:hAnsi="Calibri"/>
                <w:sz w:val="22"/>
              </w:rPr>
              <w:t>Directionally in line</w:t>
            </w:r>
          </w:p>
        </w:tc>
      </w:tr>
      <w:tr>
        <w:tc>
          <w:tcPr>
            <w:tcW w:type="dxa" w:w="1234"/>
          </w:tcPr>
          <w:p>
            <w:r>
              <w:rPr>
                <w:rFonts w:ascii="Calibri" w:hAnsi="Calibri"/>
                <w:sz w:val="22"/>
              </w:rPr>
              <w:t>CapEx – Total ($M)</w:t>
            </w:r>
          </w:p>
        </w:tc>
        <w:tc>
          <w:tcPr>
            <w:tcW w:type="dxa" w:w="1234"/>
          </w:tcPr>
          <w:p>
            <w:r>
              <w:rPr>
                <w:rFonts w:ascii="Calibri" w:hAnsi="Calibri"/>
                <w:sz w:val="22"/>
              </w:rPr>
              <w:t>$269M</w:t>
            </w:r>
          </w:p>
        </w:tc>
        <w:tc>
          <w:tcPr>
            <w:tcW w:type="dxa" w:w="1234"/>
          </w:tcPr>
          <w:p>
            <w:r>
              <w:rPr>
                <w:rFonts w:ascii="Calibri" w:hAnsi="Calibri"/>
                <w:sz w:val="22"/>
              </w:rPr>
              <w:t>$539M</w:t>
            </w:r>
          </w:p>
        </w:tc>
        <w:tc>
          <w:tcPr>
            <w:tcW w:type="dxa" w:w="1234"/>
          </w:tcPr>
          <w:p>
            <w:r>
              <w:rPr>
                <w:rFonts w:ascii="Calibri" w:hAnsi="Calibri"/>
                <w:sz w:val="22"/>
              </w:rPr>
              <w:t>$297M</w:t>
            </w:r>
          </w:p>
        </w:tc>
        <w:tc>
          <w:tcPr>
            <w:tcW w:type="dxa" w:w="1234"/>
          </w:tcPr>
          <w:p>
            <w:r>
              <w:rPr>
                <w:rFonts w:ascii="Calibri" w:hAnsi="Calibri"/>
                <w:sz w:val="22"/>
              </w:rPr>
              <w:t>-45% YoY</w:t>
            </w:r>
          </w:p>
        </w:tc>
        <w:tc>
          <w:tcPr>
            <w:tcW w:type="dxa" w:w="1234"/>
          </w:tcPr>
          <w:p>
            <w:r>
              <w:rPr>
                <w:rFonts w:ascii="Calibri" w:hAnsi="Calibri"/>
                <w:sz w:val="22"/>
              </w:rPr>
              <w:t>~$1.2B FY2026 guidance; capital discipline maintained</w:t>
            </w:r>
          </w:p>
        </w:tc>
        <w:tc>
          <w:tcPr>
            <w:tcW w:type="dxa" w:w="1234"/>
          </w:tcPr>
          <w:p>
            <w:r>
              <w:rPr>
                <w:rFonts w:ascii="Calibri" w:hAnsi="Calibri"/>
                <w:sz w:val="22"/>
              </w:rPr>
              <w:t>In line with FY pace</w:t>
            </w:r>
          </w:p>
        </w:tc>
      </w:tr>
      <w:tr>
        <w:tc>
          <w:tcPr>
            <w:tcW w:type="dxa" w:w="1234"/>
          </w:tcPr>
          <w:p>
            <w:r>
              <w:rPr>
                <w:rFonts w:ascii="Calibri" w:hAnsi="Calibri"/>
                <w:sz w:val="22"/>
              </w:rPr>
              <w:t>Free Cash Flow ($M)</w:t>
            </w:r>
          </w:p>
        </w:tc>
        <w:tc>
          <w:tcPr>
            <w:tcW w:type="dxa" w:w="1234"/>
          </w:tcPr>
          <w:p>
            <w:r>
              <w:rPr>
                <w:rFonts w:ascii="Calibri" w:hAnsi="Calibri"/>
                <w:sz w:val="22"/>
              </w:rPr>
              <w:t>-$538M</w:t>
            </w:r>
          </w:p>
        </w:tc>
        <w:tc>
          <w:tcPr>
            <w:tcW w:type="dxa" w:w="1234"/>
          </w:tcPr>
          <w:p>
            <w:r>
              <w:rPr>
                <w:rFonts w:ascii="Calibri" w:hAnsi="Calibri"/>
                <w:sz w:val="22"/>
              </w:rPr>
              <w:t>-$188M</w:t>
            </w:r>
          </w:p>
        </w:tc>
        <w:tc>
          <w:tcPr>
            <w:tcW w:type="dxa" w:w="1234"/>
          </w:tcPr>
          <w:p>
            <w:r>
              <w:rPr>
                <w:rFonts w:ascii="Calibri" w:hAnsi="Calibri"/>
                <w:sz w:val="22"/>
              </w:rPr>
              <w:t>$553M</w:t>
            </w:r>
          </w:p>
        </w:tc>
        <w:tc>
          <w:tcPr>
            <w:tcW w:type="dxa" w:w="1234"/>
          </w:tcPr>
          <w:p>
            <w:r>
              <w:rPr>
                <w:rFonts w:ascii="Calibri" w:hAnsi="Calibri"/>
                <w:sz w:val="22"/>
              </w:rPr>
              <w:t>N/M</w:t>
            </w:r>
          </w:p>
        </w:tc>
        <w:tc>
          <w:tcPr>
            <w:tcW w:type="dxa" w:w="1234"/>
          </w:tcPr>
          <w:p>
            <w:r>
              <w:rPr>
                <w:rFonts w:ascii="Calibri" w:hAnsi="Calibri"/>
                <w:sz w:val="22"/>
              </w:rPr>
              <w:t>Intentional working capital build to capture market opportunities</w:t>
            </w:r>
          </w:p>
        </w:tc>
        <w:tc>
          <w:tcPr>
            <w:tcW w:type="dxa" w:w="1234"/>
          </w:tcPr>
          <w:p>
            <w:r>
              <w:rPr>
                <w:rFonts w:ascii="Calibri" w:hAnsi="Calibri"/>
                <w:sz w:val="22"/>
              </w:rPr>
              <w:t>FCF positive expected despite WC build</w:t>
            </w:r>
          </w:p>
        </w:tc>
      </w:tr>
    </w:tbl>
    <w:p>
      <w:r>
        <w:rPr>
          <w:rFonts w:ascii="Calibri" w:hAnsi="Calibri"/>
          <w:i/>
          <w:color w:val="525866"/>
          <w:sz w:val="22"/>
        </w:rPr>
        <w:t>Source: Visible Alpha Consensus and Actuals Data. All consensus figures as of July 30, 2026. Q2 2026 consensus estimates are current as of the preparation date. YoY comparisons use Q2 2025 actuals.</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EBITDA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$615M</w:t>
            </w:r>
          </w:p>
        </w:tc>
        <w:tc>
          <w:tcPr>
            <w:tcW w:type="dxa" w:w="1728"/>
          </w:tcPr>
          <w:p>
            <w:r>
              <w:rPr>
                <w:rFonts w:ascii="Calibri" w:hAnsi="Calibri"/>
                <w:sz w:val="22"/>
              </w:rPr>
              <w:t>$555M</w:t>
            </w:r>
          </w:p>
        </w:tc>
        <w:tc>
          <w:tcPr>
            <w:tcW w:type="dxa" w:w="1728"/>
          </w:tcPr>
          <w:p>
            <w:r>
              <w:rPr>
                <w:rFonts w:ascii="Calibri" w:hAnsi="Calibri"/>
                <w:b/>
                <w:color w:val="30A46C"/>
                <w:sz w:val="22"/>
              </w:rPr>
              <w:t>+10.8%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$417M</w:t>
            </w:r>
          </w:p>
        </w:tc>
        <w:tc>
          <w:tcPr>
            <w:tcW w:type="dxa" w:w="1728"/>
          </w:tcPr>
          <w:p>
            <w:r>
              <w:rPr>
                <w:rFonts w:ascii="Calibri" w:hAnsi="Calibri"/>
                <w:sz w:val="22"/>
              </w:rPr>
              <w:t>$467M</w:t>
            </w:r>
          </w:p>
        </w:tc>
        <w:tc>
          <w:tcPr>
            <w:tcW w:type="dxa" w:w="1728"/>
          </w:tcPr>
          <w:p>
            <w:r>
              <w:rPr>
                <w:rFonts w:ascii="Calibri" w:hAnsi="Calibri"/>
                <w:b/>
                <w:color w:val="E5484D"/>
                <w:sz w:val="22"/>
              </w:rPr>
              <w:t>-10.7%</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$835M</w:t>
            </w:r>
          </w:p>
        </w:tc>
        <w:tc>
          <w:tcPr>
            <w:tcW w:type="dxa" w:w="1728"/>
          </w:tcPr>
          <w:p>
            <w:r>
              <w:rPr>
                <w:rFonts w:ascii="Calibri" w:hAnsi="Calibri"/>
                <w:sz w:val="22"/>
              </w:rPr>
              <w:t>$760M</w:t>
            </w:r>
          </w:p>
        </w:tc>
        <w:tc>
          <w:tcPr>
            <w:tcW w:type="dxa" w:w="1728"/>
          </w:tcPr>
          <w:p>
            <w:r>
              <w:rPr>
                <w:rFonts w:ascii="Calibri" w:hAnsi="Calibri"/>
                <w:b/>
                <w:color w:val="30A46C"/>
                <w:sz w:val="22"/>
              </w:rPr>
              <w:t>+9.9%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$715M</w:t>
            </w:r>
          </w:p>
        </w:tc>
        <w:tc>
          <w:tcPr>
            <w:tcW w:type="dxa" w:w="1728"/>
          </w:tcPr>
          <w:p>
            <w:r>
              <w:rPr>
                <w:rFonts w:ascii="Calibri" w:hAnsi="Calibri"/>
                <w:sz w:val="22"/>
              </w:rPr>
              <w:t>$751M</w:t>
            </w:r>
          </w:p>
        </w:tc>
        <w:tc>
          <w:tcPr>
            <w:tcW w:type="dxa" w:w="1728"/>
          </w:tcPr>
          <w:p>
            <w:r>
              <w:rPr>
                <w:rFonts w:ascii="Calibri" w:hAnsi="Calibri"/>
                <w:b/>
                <w:color w:val="E5484D"/>
                <w:sz w:val="22"/>
              </w:rPr>
              <w:t>-4.8%</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$576M</w:t>
            </w:r>
          </w:p>
        </w:tc>
        <w:tc>
          <w:tcPr>
            <w:tcW w:type="dxa" w:w="1728"/>
          </w:tcPr>
          <w:p>
            <w:r>
              <w:rPr>
                <w:rFonts w:ascii="Calibri" w:hAnsi="Calibri"/>
                <w:sz w:val="22"/>
              </w:rPr>
              <w:t>$626M</w:t>
            </w:r>
          </w:p>
        </w:tc>
        <w:tc>
          <w:tcPr>
            <w:tcW w:type="dxa" w:w="1728"/>
          </w:tcPr>
          <w:p>
            <w:r>
              <w:rPr>
                <w:rFonts w:ascii="Calibri" w:hAnsi="Calibri"/>
                <w:b/>
                <w:color w:val="E5484D"/>
                <w:sz w:val="22"/>
              </w:rPr>
              <w:t>-8.0%</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$689M</w:t>
            </w:r>
          </w:p>
        </w:tc>
        <w:tc>
          <w:tcPr>
            <w:tcW w:type="dxa" w:w="1728"/>
          </w:tcPr>
          <w:p>
            <w:r>
              <w:rPr>
                <w:rFonts w:ascii="Calibri" w:hAnsi="Calibri"/>
                <w:sz w:val="22"/>
              </w:rPr>
              <w:t>$762M</w:t>
            </w:r>
          </w:p>
        </w:tc>
        <w:tc>
          <w:tcPr>
            <w:tcW w:type="dxa" w:w="1728"/>
          </w:tcPr>
          <w:p>
            <w:r>
              <w:rPr>
                <w:rFonts w:ascii="Calibri" w:hAnsi="Calibri"/>
                <w:b/>
                <w:color w:val="E5484D"/>
                <w:sz w:val="22"/>
              </w:rPr>
              <w:t>-9.6%</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$1,211M</w:t>
            </w:r>
          </w:p>
        </w:tc>
        <w:tc>
          <w:tcPr>
            <w:tcW w:type="dxa" w:w="1728"/>
          </w:tcPr>
          <w:p>
            <w:r>
              <w:rPr>
                <w:rFonts w:ascii="Calibri" w:hAnsi="Calibri"/>
                <w:sz w:val="22"/>
              </w:rPr>
              <w:t>$1,299M</w:t>
            </w:r>
          </w:p>
        </w:tc>
        <w:tc>
          <w:tcPr>
            <w:tcW w:type="dxa" w:w="1728"/>
          </w:tcPr>
          <w:p>
            <w:r>
              <w:rPr>
                <w:rFonts w:ascii="Calibri" w:hAnsi="Calibri"/>
                <w:b/>
                <w:color w:val="E5484D"/>
                <w:sz w:val="22"/>
              </w:rPr>
              <w:t>-6.8%</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$1,373M</w:t>
            </w:r>
          </w:p>
        </w:tc>
        <w:tc>
          <w:tcPr>
            <w:tcW w:type="dxa" w:w="1728"/>
          </w:tcPr>
          <w:p>
            <w:r>
              <w:rPr>
                <w:rFonts w:ascii="Calibri" w:hAnsi="Calibri"/>
                <w:sz w:val="22"/>
              </w:rPr>
              <w:t>$1,393M</w:t>
            </w:r>
          </w:p>
        </w:tc>
        <w:tc>
          <w:tcPr>
            <w:tcW w:type="dxa" w:w="1728"/>
          </w:tcPr>
          <w:p>
            <w:r>
              <w:rPr>
                <w:rFonts w:ascii="Calibri" w:hAnsi="Calibri"/>
                <w:b/>
                <w:color w:val="E5484D"/>
                <w:sz w:val="22"/>
              </w:rPr>
              <w:t>-1.4%</w:t>
            </w:r>
          </w:p>
        </w:tc>
        <w:tc>
          <w:tcPr>
            <w:tcW w:type="dxa" w:w="1728"/>
          </w:tcPr>
          <w:p>
            <w:r>
              <w:rPr>
                <w:rFonts w:ascii="Calibri" w:hAnsi="Calibri"/>
                <w:sz w:val="22"/>
              </w:rPr>
              <w:t>MISS</w:t>
            </w:r>
          </w:p>
        </w:tc>
      </w:tr>
    </w:tbl>
    <w:p>
      <w:r>
        <w:rPr>
          <w:rFonts w:ascii="Calibri" w:hAnsi="Calibri"/>
          <w:b/>
          <w:color w:val="525866"/>
          <w:sz w:val="22"/>
        </w:rPr>
        <w:t>Top KPI #2: Diluted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$0.49</w:t>
            </w:r>
          </w:p>
        </w:tc>
        <w:tc>
          <w:tcPr>
            <w:tcW w:type="dxa" w:w="1728"/>
          </w:tcPr>
          <w:p>
            <w:r>
              <w:rPr>
                <w:rFonts w:ascii="Calibri" w:hAnsi="Calibri"/>
                <w:sz w:val="22"/>
              </w:rPr>
              <w:t>$0.24</w:t>
            </w:r>
          </w:p>
        </w:tc>
        <w:tc>
          <w:tcPr>
            <w:tcW w:type="dxa" w:w="1728"/>
          </w:tcPr>
          <w:p>
            <w:r>
              <w:rPr>
                <w:rFonts w:ascii="Calibri" w:hAnsi="Calibri"/>
                <w:b/>
                <w:color w:val="30A46C"/>
                <w:sz w:val="22"/>
              </w:rPr>
              <w:t>+104.5%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-$0.26</w:t>
            </w:r>
          </w:p>
        </w:tc>
        <w:tc>
          <w:tcPr>
            <w:tcW w:type="dxa" w:w="1728"/>
          </w:tcPr>
          <w:p>
            <w:r>
              <w:rPr>
                <w:rFonts w:ascii="Calibri" w:hAnsi="Calibri"/>
                <w:sz w:val="22"/>
              </w:rPr>
              <w:t>$0.12</w:t>
            </w:r>
          </w:p>
        </w:tc>
        <w:tc>
          <w:tcPr>
            <w:tcW w:type="dxa" w:w="1728"/>
          </w:tcPr>
          <w:p>
            <w:r>
              <w:rPr>
                <w:rFonts w:ascii="Calibri" w:hAnsi="Calibri"/>
                <w:b/>
                <w:color w:val="E5484D"/>
                <w:sz w:val="22"/>
              </w:rPr>
              <w:t>N/M</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$1.01</w:t>
            </w:r>
          </w:p>
        </w:tc>
        <w:tc>
          <w:tcPr>
            <w:tcW w:type="dxa" w:w="1728"/>
          </w:tcPr>
          <w:p>
            <w:r>
              <w:rPr>
                <w:rFonts w:ascii="Calibri" w:hAnsi="Calibri"/>
                <w:sz w:val="22"/>
              </w:rPr>
              <w:t>$0.79</w:t>
            </w:r>
          </w:p>
        </w:tc>
        <w:tc>
          <w:tcPr>
            <w:tcW w:type="dxa" w:w="1728"/>
          </w:tcPr>
          <w:p>
            <w:r>
              <w:rPr>
                <w:rFonts w:ascii="Calibri" w:hAnsi="Calibri"/>
                <w:b/>
                <w:color w:val="30A46C"/>
                <w:sz w:val="22"/>
              </w:rPr>
              <w:t>+27.9%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$0.62</w:t>
            </w:r>
          </w:p>
        </w:tc>
        <w:tc>
          <w:tcPr>
            <w:tcW w:type="dxa" w:w="1728"/>
          </w:tcPr>
          <w:p>
            <w:r>
              <w:rPr>
                <w:rFonts w:ascii="Calibri" w:hAnsi="Calibri"/>
                <w:sz w:val="22"/>
              </w:rPr>
              <w:t>$0.81</w:t>
            </w:r>
          </w:p>
        </w:tc>
        <w:tc>
          <w:tcPr>
            <w:tcW w:type="dxa" w:w="1728"/>
          </w:tcPr>
          <w:p>
            <w:r>
              <w:rPr>
                <w:rFonts w:ascii="Calibri" w:hAnsi="Calibri"/>
                <w:b/>
                <w:color w:val="E5484D"/>
                <w:sz w:val="22"/>
              </w:rPr>
              <w:t>-23.2%</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$0.33</w:t>
            </w:r>
          </w:p>
        </w:tc>
        <w:tc>
          <w:tcPr>
            <w:tcW w:type="dxa" w:w="1728"/>
          </w:tcPr>
          <w:p>
            <w:r>
              <w:rPr>
                <w:rFonts w:ascii="Calibri" w:hAnsi="Calibri"/>
                <w:sz w:val="22"/>
              </w:rPr>
              <w:t>$0.49</w:t>
            </w:r>
          </w:p>
        </w:tc>
        <w:tc>
          <w:tcPr>
            <w:tcW w:type="dxa" w:w="1728"/>
          </w:tcPr>
          <w:p>
            <w:r>
              <w:rPr>
                <w:rFonts w:ascii="Calibri" w:hAnsi="Calibri"/>
                <w:b/>
                <w:color w:val="E5484D"/>
                <w:sz w:val="22"/>
              </w:rPr>
              <w:t>-32.4%</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$0.75</w:t>
            </w:r>
          </w:p>
        </w:tc>
        <w:tc>
          <w:tcPr>
            <w:tcW w:type="dxa" w:w="1728"/>
          </w:tcPr>
          <w:p>
            <w:r>
              <w:rPr>
                <w:rFonts w:ascii="Calibri" w:hAnsi="Calibri"/>
                <w:sz w:val="22"/>
              </w:rPr>
              <w:t>$0.73</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$1.88</w:t>
            </w:r>
          </w:p>
        </w:tc>
        <w:tc>
          <w:tcPr>
            <w:tcW w:type="dxa" w:w="1728"/>
          </w:tcPr>
          <w:p>
            <w:r>
              <w:rPr>
                <w:rFonts w:ascii="Calibri" w:hAnsi="Calibri"/>
                <w:sz w:val="22"/>
              </w:rPr>
              <w:t>$2.03</w:t>
            </w:r>
          </w:p>
        </w:tc>
        <w:tc>
          <w:tcPr>
            <w:tcW w:type="dxa" w:w="1728"/>
          </w:tcPr>
          <w:p>
            <w:r>
              <w:rPr>
                <w:rFonts w:ascii="Calibri" w:hAnsi="Calibri"/>
                <w:b/>
                <w:color w:val="E5484D"/>
                <w:sz w:val="22"/>
              </w:rPr>
              <w:t>-7.5%</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$2.24</w:t>
            </w:r>
          </w:p>
        </w:tc>
        <w:tc>
          <w:tcPr>
            <w:tcW w:type="dxa" w:w="1728"/>
          </w:tcPr>
          <w:p>
            <w:r>
              <w:rPr>
                <w:rFonts w:ascii="Calibri" w:hAnsi="Calibri"/>
                <w:sz w:val="22"/>
              </w:rPr>
              <w:t>$2.25</w:t>
            </w:r>
          </w:p>
        </w:tc>
        <w:tc>
          <w:tcPr>
            <w:tcW w:type="dxa" w:w="1728"/>
          </w:tcPr>
          <w:p>
            <w:r>
              <w:rPr>
                <w:rFonts w:ascii="Calibri" w:hAnsi="Calibri"/>
                <w:b/>
                <w:color w:val="E5484D"/>
                <w:sz w:val="22"/>
              </w:rPr>
              <w:t>-0.2%</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LYB has missed EBITDA consensus in 6 of the last 8 quarters, with beats concentrated in Q3 2025 and Q1 2026 (both conflict-driven); the Q1 2026 EPS beat of +104% was the largest in the series, driven by a severely depressed consensus baseline — the Q2 2026 consensus is far more elevated, making a repeat magnitude beat unlikely but a directional beat plausible if PE price realization exceeded the June settlement.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shifted decisively bullish on the Q1 2026 call (May 1), characterizing the Middle East conflict disruption as lasting “multiple quarters, definitely not months” and announcing cumulative $0.50/lb PE price increases for April/May; no formal guidance revisions have been issued since, but DOW’s Q2 print (July 23) introduced a cautionary note — a </w:t>
      </w:r>
      <w:r>
        <w:rPr>
          <w:rFonts w:ascii="Calibri" w:hAnsi="Calibri"/>
          <w:b/>
          <w:color w:val="525866"/>
          <w:sz w:val="22"/>
        </w:rPr>
        <w:t>$0.15/lb June PE price settlement</w:t>
      </w:r>
      <w:r>
        <w:rPr>
          <w:rFonts w:ascii="Calibri" w:hAnsi="Calibri"/>
          <w:color w:val="525866"/>
          <w:sz w:val="22"/>
        </w:rPr>
        <w:t xml:space="preserve"> and Q3 EBITDA guided ~26% below Q2 — which may temper LYB’s Q3 outlook language.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O&amp;P Americas Operating Rate</w:t>
            </w:r>
          </w:p>
        </w:tc>
        <w:tc>
          <w:tcPr>
            <w:tcW w:type="dxa" w:w="1728"/>
          </w:tcPr>
          <w:p>
            <w:r>
              <w:rPr>
                <w:rFonts w:ascii="Calibri" w:hAnsi="Calibri"/>
                <w:sz w:val="22"/>
              </w:rPr>
              <w:t>90% utilization of nameplate capacity in Q2</w:t>
            </w:r>
          </w:p>
        </w:tc>
        <w:tc>
          <w:tcPr>
            <w:tcW w:type="dxa" w:w="1728"/>
          </w:tcPr>
          <w:p>
            <w:r>
              <w:rPr>
                <w:rFonts w:ascii="Calibri" w:hAnsi="Calibri"/>
                <w:sz w:val="22"/>
              </w:rPr>
              <w:t>—</w:t>
            </w:r>
          </w:p>
        </w:tc>
        <w:tc>
          <w:tcPr>
            <w:tcW w:type="dxa" w:w="1728"/>
          </w:tcPr>
          <w:p>
            <w:r>
              <w:rPr>
                <w:rFonts w:ascii="Calibri" w:hAnsi="Calibri"/>
                <w:sz w:val="22"/>
              </w:rPr>
              <w:t>Implied in EBITDA consensus</w:t>
            </w:r>
          </w:p>
        </w:tc>
        <w:tc>
          <w:tcPr>
            <w:tcW w:type="dxa" w:w="1728"/>
          </w:tcPr>
          <w:p>
            <w:r>
              <w:rPr>
                <w:rFonts w:ascii="Calibri" w:hAnsi="Calibri"/>
                <w:sz w:val="22"/>
              </w:rPr>
              <w:t>No post-earnings revision; DOW ran 84% in Q2 due to planned maintenance — LYB targeted higher</w:t>
            </w:r>
          </w:p>
        </w:tc>
      </w:tr>
      <w:tr>
        <w:tc>
          <w:tcPr>
            <w:tcW w:type="dxa" w:w="1728"/>
          </w:tcPr>
          <w:p>
            <w:r>
              <w:rPr>
                <w:rFonts w:ascii="Calibri" w:hAnsi="Calibri"/>
                <w:sz w:val="22"/>
              </w:rPr>
              <w:t>O&amp;P EAI Operating Rate</w:t>
            </w:r>
          </w:p>
        </w:tc>
        <w:tc>
          <w:tcPr>
            <w:tcW w:type="dxa" w:w="1728"/>
          </w:tcPr>
          <w:p>
            <w:r>
              <w:rPr>
                <w:rFonts w:ascii="Calibri" w:hAnsi="Calibri"/>
                <w:sz w:val="22"/>
              </w:rPr>
              <w:t>~80% across segment in Q2</w:t>
            </w:r>
          </w:p>
        </w:tc>
        <w:tc>
          <w:tcPr>
            <w:tcW w:type="dxa" w:w="1728"/>
          </w:tcPr>
          <w:p>
            <w:r>
              <w:rPr>
                <w:rFonts w:ascii="Calibri" w:hAnsi="Calibri"/>
                <w:sz w:val="22"/>
              </w:rPr>
              <w:t>—</w:t>
            </w:r>
          </w:p>
        </w:tc>
        <w:tc>
          <w:tcPr>
            <w:tcW w:type="dxa" w:w="1728"/>
          </w:tcPr>
          <w:p>
            <w:r>
              <w:rPr>
                <w:rFonts w:ascii="Calibri" w:hAnsi="Calibri"/>
                <w:sz w:val="22"/>
              </w:rPr>
              <w:t>Implied in EAI EBITDA consensus of $268M</w:t>
            </w:r>
          </w:p>
        </w:tc>
        <w:tc>
          <w:tcPr>
            <w:tcW w:type="dxa" w:w="1728"/>
          </w:tcPr>
          <w:p>
            <w:r>
              <w:rPr>
                <w:rFonts w:ascii="Calibri" w:hAnsi="Calibri"/>
                <w:sz w:val="22"/>
              </w:rPr>
              <w:t>No revision; European asset sale (4 sites to AEQUITA, completed May 1) reduces EAI scope going forward</w:t>
            </w:r>
          </w:p>
        </w:tc>
      </w:tr>
      <w:tr>
        <w:tc>
          <w:tcPr>
            <w:tcW w:type="dxa" w:w="1728"/>
          </w:tcPr>
          <w:p>
            <w:r>
              <w:rPr>
                <w:rFonts w:ascii="Calibri" w:hAnsi="Calibri"/>
                <w:sz w:val="22"/>
              </w:rPr>
              <w:t>I&amp;D Operating Rate</w:t>
            </w:r>
          </w:p>
        </w:tc>
        <w:tc>
          <w:tcPr>
            <w:tcW w:type="dxa" w:w="1728"/>
          </w:tcPr>
          <w:p>
            <w:r>
              <w:rPr>
                <w:rFonts w:ascii="Calibri" w:hAnsi="Calibri"/>
                <w:sz w:val="22"/>
              </w:rPr>
              <w:t>~75% in Q2 due to Bayport PO/TBA outage; restart targeted end of Q2</w:t>
            </w:r>
          </w:p>
        </w:tc>
        <w:tc>
          <w:tcPr>
            <w:tcW w:type="dxa" w:w="1728"/>
          </w:tcPr>
          <w:p>
            <w:r>
              <w:rPr>
                <w:rFonts w:ascii="Calibri" w:hAnsi="Calibri"/>
                <w:sz w:val="22"/>
              </w:rPr>
              <w:t>—</w:t>
            </w:r>
          </w:p>
        </w:tc>
        <w:tc>
          <w:tcPr>
            <w:tcW w:type="dxa" w:w="1728"/>
          </w:tcPr>
          <w:p>
            <w:r>
              <w:rPr>
                <w:rFonts w:ascii="Calibri" w:hAnsi="Calibri"/>
                <w:sz w:val="22"/>
              </w:rPr>
              <w:t>Consensus I&amp;D EBITDA $337M</w:t>
            </w:r>
          </w:p>
        </w:tc>
        <w:tc>
          <w:tcPr>
            <w:tcW w:type="dxa" w:w="1728"/>
          </w:tcPr>
          <w:p>
            <w:r>
              <w:rPr>
                <w:rFonts w:ascii="Calibri" w:hAnsi="Calibri"/>
                <w:sz w:val="22"/>
              </w:rPr>
              <w:t>Bayport drag ~$25M/week while down; restart timing is key variable for Q2 I&amp;D result</w:t>
            </w:r>
          </w:p>
        </w:tc>
      </w:tr>
      <w:tr>
        <w:tc>
          <w:tcPr>
            <w:tcW w:type="dxa" w:w="1728"/>
          </w:tcPr>
          <w:p>
            <w:r>
              <w:rPr>
                <w:rFonts w:ascii="Calibri" w:hAnsi="Calibri"/>
                <w:sz w:val="22"/>
              </w:rPr>
              <w:t>PE Price Increases</w:t>
            </w:r>
          </w:p>
        </w:tc>
        <w:tc>
          <w:tcPr>
            <w:tcW w:type="dxa" w:w="1728"/>
          </w:tcPr>
          <w:p>
            <w:r>
              <w:rPr>
                <w:rFonts w:ascii="Calibri" w:hAnsi="Calibri"/>
                <w:sz w:val="22"/>
              </w:rPr>
              <w:t>Cumulative $0.50/lb in April + May; $0.30 confirmed in April, $0.20 announced for May</w:t>
            </w:r>
          </w:p>
        </w:tc>
        <w:tc>
          <w:tcPr>
            <w:tcW w:type="dxa" w:w="1728"/>
          </w:tcPr>
          <w:p>
            <w:r>
              <w:rPr>
                <w:rFonts w:ascii="Calibri" w:hAnsi="Calibri"/>
                <w:sz w:val="22"/>
              </w:rPr>
              <w:t>—</w:t>
            </w:r>
          </w:p>
        </w:tc>
        <w:tc>
          <w:tcPr>
            <w:tcW w:type="dxa" w:w="1728"/>
          </w:tcPr>
          <w:p>
            <w:r>
              <w:rPr>
                <w:rFonts w:ascii="Calibri" w:hAnsi="Calibri"/>
                <w:sz w:val="22"/>
              </w:rPr>
              <w:t>Embedded in O&amp;P Americas consensus</w:t>
            </w:r>
          </w:p>
        </w:tc>
        <w:tc>
          <w:tcPr>
            <w:tcW w:type="dxa" w:w="1728"/>
          </w:tcPr>
          <w:p>
            <w:r>
              <w:rPr>
                <w:rFonts w:ascii="Calibri" w:hAnsi="Calibri"/>
                <w:sz w:val="22"/>
              </w:rPr>
              <w:t>DOW confirmed $0.15/lb June settlement (down); LYB Q2 realization depends on timing of June rollback vs. April/May gains</w:t>
            </w:r>
          </w:p>
        </w:tc>
      </w:tr>
      <w:tr>
        <w:tc>
          <w:tcPr>
            <w:tcW w:type="dxa" w:w="1728"/>
          </w:tcPr>
          <w:p>
            <w:r>
              <w:rPr>
                <w:rFonts w:ascii="Calibri" w:hAnsi="Calibri"/>
                <w:sz w:val="22"/>
              </w:rPr>
              <w:t>PP Spread Increases</w:t>
            </w:r>
          </w:p>
        </w:tc>
        <w:tc>
          <w:tcPr>
            <w:tcW w:type="dxa" w:w="1728"/>
          </w:tcPr>
          <w:p>
            <w:r>
              <w:rPr>
                <w:rFonts w:ascii="Calibri" w:hAnsi="Calibri"/>
                <w:sz w:val="22"/>
              </w:rPr>
              <w:t>$0.10/lb spread increases in both April and May</w:t>
            </w:r>
          </w:p>
        </w:tc>
        <w:tc>
          <w:tcPr>
            <w:tcW w:type="dxa" w:w="1728"/>
          </w:tcPr>
          <w:p>
            <w:r>
              <w:rPr>
                <w:rFonts w:ascii="Calibri" w:hAnsi="Calibri"/>
                <w:sz w:val="22"/>
              </w:rPr>
              <w:t>—</w:t>
            </w:r>
          </w:p>
        </w:tc>
        <w:tc>
          <w:tcPr>
            <w:tcW w:type="dxa" w:w="1728"/>
          </w:tcPr>
          <w:p>
            <w:r>
              <w:rPr>
                <w:rFonts w:ascii="Calibri" w:hAnsi="Calibri"/>
                <w:sz w:val="22"/>
              </w:rPr>
              <w:t>Embedded in O&amp;P Americas consensus</w:t>
            </w:r>
          </w:p>
        </w:tc>
        <w:tc>
          <w:tcPr>
            <w:tcW w:type="dxa" w:w="1728"/>
          </w:tcPr>
          <w:p>
            <w:r>
              <w:rPr>
                <w:rFonts w:ascii="Calibri" w:hAnsi="Calibri"/>
                <w:sz w:val="22"/>
              </w:rPr>
              <w:t>PP characterized as “sleeping giant”; 15-20% operating rate improvement opportunity cited</w:t>
            </w:r>
          </w:p>
        </w:tc>
      </w:tr>
      <w:tr>
        <w:tc>
          <w:tcPr>
            <w:tcW w:type="dxa" w:w="1728"/>
          </w:tcPr>
          <w:p>
            <w:r>
              <w:rPr>
                <w:rFonts w:ascii="Calibri" w:hAnsi="Calibri"/>
                <w:sz w:val="22"/>
              </w:rPr>
              <w:t>FY2026 CapEx</w:t>
            </w:r>
          </w:p>
        </w:tc>
        <w:tc>
          <w:tcPr>
            <w:tcW w:type="dxa" w:w="1728"/>
          </w:tcPr>
          <w:p>
            <w:r>
              <w:rPr>
                <w:rFonts w:ascii="Calibri" w:hAnsi="Calibri"/>
                <w:sz w:val="22"/>
              </w:rPr>
              <w:t>~$1.2B (unchanged from Q4 2025 guidance)</w:t>
            </w:r>
          </w:p>
        </w:tc>
        <w:tc>
          <w:tcPr>
            <w:tcW w:type="dxa" w:w="1728"/>
          </w:tcPr>
          <w:p>
            <w:r>
              <w:rPr>
                <w:rFonts w:ascii="Calibri" w:hAnsi="Calibri"/>
                <w:sz w:val="22"/>
              </w:rPr>
              <w:t>—</w:t>
            </w:r>
          </w:p>
        </w:tc>
        <w:tc>
          <w:tcPr>
            <w:tcW w:type="dxa" w:w="1728"/>
          </w:tcPr>
          <w:p>
            <w:r>
              <w:rPr>
                <w:rFonts w:ascii="Calibri" w:hAnsi="Calibri"/>
                <w:sz w:val="22"/>
              </w:rPr>
              <w:t>$1.166B consensus</w:t>
            </w:r>
          </w:p>
        </w:tc>
        <w:tc>
          <w:tcPr>
            <w:tcW w:type="dxa" w:w="1728"/>
          </w:tcPr>
          <w:p>
            <w:r>
              <w:rPr>
                <w:rFonts w:ascii="Calibri" w:hAnsi="Calibri"/>
                <w:sz w:val="22"/>
              </w:rPr>
              <w:t>No revision; capital discipline maintained; consensus slightly below guidance</w:t>
            </w:r>
          </w:p>
        </w:tc>
      </w:tr>
      <w:tr>
        <w:tc>
          <w:tcPr>
            <w:tcW w:type="dxa" w:w="1728"/>
          </w:tcPr>
          <w:p>
            <w:r>
              <w:rPr>
                <w:rFonts w:ascii="Calibri" w:hAnsi="Calibri"/>
                <w:sz w:val="22"/>
              </w:rPr>
              <w:t>FY2026 Effective Tax Rate</w:t>
            </w:r>
          </w:p>
        </w:tc>
        <w:tc>
          <w:tcPr>
            <w:tcW w:type="dxa" w:w="1728"/>
          </w:tcPr>
          <w:p>
            <w:r>
              <w:rPr>
                <w:rFonts w:ascii="Calibri" w:hAnsi="Calibri"/>
                <w:sz w:val="22"/>
              </w:rPr>
              <w:t>15%–20% (revised up from ~10% at Q4 2025 call, reflecting improved earnings outlook)</w:t>
            </w:r>
          </w:p>
        </w:tc>
        <w:tc>
          <w:tcPr>
            <w:tcW w:type="dxa" w:w="1728"/>
          </w:tcPr>
          <w:p>
            <w:r>
              <w:rPr>
                <w:rFonts w:ascii="Calibri" w:hAnsi="Calibri"/>
                <w:sz w:val="22"/>
              </w:rPr>
              <w:t>—</w:t>
            </w:r>
          </w:p>
        </w:tc>
        <w:tc>
          <w:tcPr>
            <w:tcW w:type="dxa" w:w="1728"/>
          </w:tcPr>
          <w:p>
            <w:r>
              <w:rPr>
                <w:rFonts w:ascii="Calibri" w:hAnsi="Calibri"/>
                <w:sz w:val="22"/>
              </w:rPr>
              <w:t>Embedded in EPS consensus</w:t>
            </w:r>
          </w:p>
        </w:tc>
        <w:tc>
          <w:tcPr>
            <w:tcW w:type="dxa" w:w="1728"/>
          </w:tcPr>
          <w:p>
            <w:r>
              <w:rPr>
                <w:rFonts w:ascii="Calibri" w:hAnsi="Calibri"/>
                <w:sz w:val="22"/>
              </w:rPr>
              <w:t>↑ Raised at Q1 2026 earnings call; higher earnings base drives higher effective rate</w:t>
            </w:r>
          </w:p>
        </w:tc>
      </w:tr>
      <w:tr>
        <w:tc>
          <w:tcPr>
            <w:tcW w:type="dxa" w:w="1728"/>
          </w:tcPr>
          <w:p>
            <w:r>
              <w:rPr>
                <w:rFonts w:ascii="Calibri" w:hAnsi="Calibri"/>
                <w:sz w:val="22"/>
              </w:rPr>
              <w:t>Working Capital</w:t>
            </w:r>
          </w:p>
        </w:tc>
        <w:tc>
          <w:tcPr>
            <w:tcW w:type="dxa" w:w="1728"/>
          </w:tcPr>
          <w:p>
            <w:r>
              <w:rPr>
                <w:rFonts w:ascii="Calibri" w:hAnsi="Calibri"/>
                <w:sz w:val="22"/>
              </w:rPr>
              <w:t>Intentional build in Q2 to capture market opportunities from higher prices and operating rates</w:t>
            </w:r>
          </w:p>
        </w:tc>
        <w:tc>
          <w:tcPr>
            <w:tcW w:type="dxa" w:w="1728"/>
          </w:tcPr>
          <w:p>
            <w:r>
              <w:rPr>
                <w:rFonts w:ascii="Calibri" w:hAnsi="Calibri"/>
                <w:sz w:val="22"/>
              </w:rPr>
              <w:t>—</w:t>
            </w:r>
          </w:p>
        </w:tc>
        <w:tc>
          <w:tcPr>
            <w:tcW w:type="dxa" w:w="1728"/>
          </w:tcPr>
          <w:p>
            <w:r>
              <w:rPr>
                <w:rFonts w:ascii="Calibri" w:hAnsi="Calibri"/>
                <w:sz w:val="22"/>
              </w:rPr>
              <w:t>FCF consensus $553M for Q2</w:t>
            </w:r>
          </w:p>
        </w:tc>
        <w:tc>
          <w:tcPr>
            <w:tcW w:type="dxa" w:w="1728"/>
          </w:tcPr>
          <w:p>
            <w:r>
              <w:rPr>
                <w:rFonts w:ascii="Calibri" w:hAnsi="Calibri"/>
                <w:sz w:val="22"/>
              </w:rPr>
              <w:t>WC build will be a headwind to FCF; management flagged this explicitly on Q1 call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EBITDA estimates have been essentially stable since the Q1 print ($1.775B now vs. $1.775B at baseline), suggesting the Street fully priced in management’s bullish Q2 setup immediately after the May 1 call; however, </w:t>
      </w:r>
      <w:r>
        <w:rPr>
          <w:rFonts w:ascii="Calibri" w:hAnsi="Calibri"/>
          <w:b/>
          <w:color w:val="525866"/>
          <w:sz w:val="22"/>
        </w:rPr>
        <w:t>FY2026 EBITDA estimates have been revised up sharply (+17%)</w:t>
      </w:r>
      <w:r>
        <w:rPr>
          <w:rFonts w:ascii="Calibri" w:hAnsi="Calibri"/>
          <w:color w:val="525866"/>
          <w:sz w:val="22"/>
        </w:rPr>
        <w:t xml:space="preserve"> from $5.0B to $5.9B since the Q1 print, reflecting the structural re-rating of the conflict-driven cycle — the risk is that DOW’s Q3 guide signals the peak has passed, which could trigger FY estimate cuts post-Q2.</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6, 2026 (+5 Days Post Q1 Print)</w:t>
            </w:r>
          </w:p>
        </w:tc>
        <w:tc>
          <w:tcPr>
            <w:tcW w:type="dxa" w:w="1080"/>
            <w:shd w:val="clear" w:color="auto" w:fill="3B4259"/>
          </w:tcPr>
          <w:p>
            <w:r>
              <w:rPr>
                <w:rFonts w:ascii="Calibri" w:hAnsi="Calibri"/>
                <w:b/>
                <w:color w:val="FFFFFF"/>
                <w:sz w:val="22"/>
              </w:rPr>
              <w:t>Current Consensus (Jul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EBITDA – Operating (Q2 2026)</w:t>
            </w:r>
          </w:p>
        </w:tc>
        <w:tc>
          <w:tcPr>
            <w:tcW w:type="dxa" w:w="1080"/>
          </w:tcPr>
          <w:p>
            <w:r>
              <w:rPr>
                <w:rFonts w:ascii="Calibri" w:hAnsi="Calibri"/>
                <w:sz w:val="22"/>
              </w:rPr>
              <w:t>$1,775M</w:t>
            </w:r>
          </w:p>
        </w:tc>
        <w:tc>
          <w:tcPr>
            <w:tcW w:type="dxa" w:w="1080"/>
          </w:tcPr>
          <w:p>
            <w:r>
              <w:rPr>
                <w:rFonts w:ascii="Calibri" w:hAnsi="Calibri"/>
                <w:sz w:val="22"/>
              </w:rPr>
              <w:t>$1,780M</w:t>
            </w:r>
          </w:p>
        </w:tc>
        <w:tc>
          <w:tcPr>
            <w:tcW w:type="dxa" w:w="1080"/>
          </w:tcPr>
          <w:p>
            <w:r>
              <w:rPr>
                <w:rFonts w:ascii="Calibri" w:hAnsi="Calibri"/>
                <w:sz w:val="22"/>
              </w:rPr>
              <w:t>+0.3%</w:t>
            </w:r>
          </w:p>
        </w:tc>
        <w:tc>
          <w:tcPr>
            <w:tcW w:type="dxa" w:w="1080"/>
          </w:tcPr>
          <w:p>
            <w:r>
              <w:rPr>
                <w:rFonts w:ascii="Calibri" w:hAnsi="Calibri"/>
                <w:sz w:val="22"/>
              </w:rPr>
              <w:t>Significant sequential improvement; 90% O&amp;P Americas utilization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Directionally in line</w:t>
            </w:r>
          </w:p>
        </w:tc>
      </w:tr>
      <w:tr>
        <w:tc>
          <w:tcPr>
            <w:tcW w:type="dxa" w:w="1080"/>
          </w:tcPr>
          <w:p>
            <w:r>
              <w:rPr>
                <w:rFonts w:ascii="Calibri" w:hAnsi="Calibri"/>
                <w:sz w:val="22"/>
              </w:rPr>
              <w:t>Diluted EPS – Operating (Q2 2026)</w:t>
            </w:r>
          </w:p>
        </w:tc>
        <w:tc>
          <w:tcPr>
            <w:tcW w:type="dxa" w:w="1080"/>
          </w:tcPr>
          <w:p>
            <w:r>
              <w:rPr>
                <w:rFonts w:ascii="Calibri" w:hAnsi="Calibri"/>
                <w:sz w:val="22"/>
              </w:rPr>
              <w:t>$3.37</w:t>
            </w:r>
          </w:p>
        </w:tc>
        <w:tc>
          <w:tcPr>
            <w:tcW w:type="dxa" w:w="1080"/>
          </w:tcPr>
          <w:p>
            <w:r>
              <w:rPr>
                <w:rFonts w:ascii="Calibri" w:hAnsi="Calibri"/>
                <w:sz w:val="22"/>
              </w:rPr>
              <w:t>$3.40</w:t>
            </w:r>
          </w:p>
        </w:tc>
        <w:tc>
          <w:tcPr>
            <w:tcW w:type="dxa" w:w="1080"/>
          </w:tcPr>
          <w:p>
            <w:r>
              <w:rPr>
                <w:rFonts w:ascii="Calibri" w:hAnsi="Calibri"/>
                <w:sz w:val="22"/>
              </w:rPr>
              <w:t>+0.9%</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(Q2 2026)</w:t>
            </w:r>
          </w:p>
        </w:tc>
        <w:tc>
          <w:tcPr>
            <w:tcW w:type="dxa" w:w="1080"/>
          </w:tcPr>
          <w:p>
            <w:r>
              <w:rPr>
                <w:rFonts w:ascii="Calibri" w:hAnsi="Calibri"/>
                <w:sz w:val="22"/>
              </w:rPr>
              <w:t>$9,380M</w:t>
            </w:r>
          </w:p>
        </w:tc>
        <w:tc>
          <w:tcPr>
            <w:tcW w:type="dxa" w:w="1080"/>
          </w:tcPr>
          <w:p>
            <w:r>
              <w:rPr>
                <w:rFonts w:ascii="Calibri" w:hAnsi="Calibri"/>
                <w:sz w:val="22"/>
              </w:rPr>
              <w:t>$9,158M</w:t>
            </w:r>
          </w:p>
        </w:tc>
        <w:tc>
          <w:tcPr>
            <w:tcW w:type="dxa" w:w="1080"/>
          </w:tcPr>
          <w:p>
            <w:r>
              <w:rPr>
                <w:rFonts w:ascii="Calibri" w:hAnsi="Calibri"/>
                <w:sz w:val="22"/>
              </w:rPr>
              <w:t>-2.4%</w:t>
            </w:r>
          </w:p>
        </w:tc>
        <w:tc>
          <w:tcPr>
            <w:tcW w:type="dxa" w:w="1080"/>
          </w:tcPr>
          <w:p>
            <w:r>
              <w:rPr>
                <w:rFonts w:ascii="Calibri" w:hAnsi="Calibri"/>
                <w:sz w:val="22"/>
              </w:rPr>
              <w:t>Higher prices and volumes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Directionally in line</w:t>
            </w:r>
          </w:p>
        </w:tc>
      </w:tr>
      <w:tr>
        <w:tc>
          <w:tcPr>
            <w:tcW w:type="dxa" w:w="1080"/>
          </w:tcPr>
          <w:p>
            <w:r>
              <w:rPr>
                <w:rFonts w:ascii="Calibri" w:hAnsi="Calibri"/>
                <w:sz w:val="22"/>
              </w:rPr>
              <w:t>EBITDA – Operating (FY2026)</w:t>
            </w:r>
          </w:p>
        </w:tc>
        <w:tc>
          <w:tcPr>
            <w:tcW w:type="dxa" w:w="1080"/>
          </w:tcPr>
          <w:p>
            <w:r>
              <w:rPr>
                <w:rFonts w:ascii="Calibri" w:hAnsi="Calibri"/>
                <w:sz w:val="22"/>
              </w:rPr>
              <w:t>$5,857M</w:t>
            </w:r>
          </w:p>
        </w:tc>
        <w:tc>
          <w:tcPr>
            <w:tcW w:type="dxa" w:w="1080"/>
          </w:tcPr>
          <w:p>
            <w:r>
              <w:rPr>
                <w:rFonts w:ascii="Calibri" w:hAnsi="Calibri"/>
                <w:sz w:val="22"/>
              </w:rPr>
              <w:t>$4,998M</w:t>
            </w:r>
          </w:p>
        </w:tc>
        <w:tc>
          <w:tcPr>
            <w:tcW w:type="dxa" w:w="1080"/>
          </w:tcPr>
          <w:p>
            <w:r>
              <w:rPr>
                <w:rFonts w:ascii="Calibri" w:hAnsi="Calibri"/>
                <w:b/>
                <w:color w:val="E5484D"/>
                <w:sz w:val="22"/>
              </w:rPr>
              <w:t>-14.6%</w:t>
            </w:r>
          </w:p>
        </w:tc>
        <w:tc>
          <w:tcPr>
            <w:tcW w:type="dxa" w:w="1080"/>
          </w:tcPr>
          <w:p>
            <w:r>
              <w:rPr>
                <w:rFonts w:ascii="Calibri" w:hAnsi="Calibri"/>
                <w:sz w:val="22"/>
              </w:rPr>
              <w:t>No FY EBITDA guidance; $1.5B recurring EBITDA target by 2028 (VEP)</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FY guidance)</w:t>
            </w:r>
          </w:p>
        </w:tc>
      </w:tr>
      <w:tr>
        <w:tc>
          <w:tcPr>
            <w:tcW w:type="dxa" w:w="1080"/>
          </w:tcPr>
          <w:p>
            <w:r>
              <w:rPr>
                <w:rFonts w:ascii="Calibri" w:hAnsi="Calibri"/>
                <w:sz w:val="22"/>
              </w:rPr>
              <w:t>Diluted EPS – Operating (FY2026)</w:t>
            </w:r>
          </w:p>
        </w:tc>
        <w:tc>
          <w:tcPr>
            <w:tcW w:type="dxa" w:w="1080"/>
          </w:tcPr>
          <w:p>
            <w:r>
              <w:rPr>
                <w:rFonts w:ascii="Calibri" w:hAnsi="Calibri"/>
                <w:sz w:val="22"/>
              </w:rPr>
              <w:t>$10.42</w:t>
            </w:r>
          </w:p>
        </w:tc>
        <w:tc>
          <w:tcPr>
            <w:tcW w:type="dxa" w:w="1080"/>
          </w:tcPr>
          <w:p>
            <w:r>
              <w:rPr>
                <w:rFonts w:ascii="Calibri" w:hAnsi="Calibri"/>
                <w:sz w:val="22"/>
              </w:rPr>
              <w:t>$8.30</w:t>
            </w:r>
          </w:p>
        </w:tc>
        <w:tc>
          <w:tcPr>
            <w:tcW w:type="dxa" w:w="1080"/>
          </w:tcPr>
          <w:p>
            <w:r>
              <w:rPr>
                <w:rFonts w:ascii="Calibri" w:hAnsi="Calibri"/>
                <w:b/>
                <w:color w:val="E5484D"/>
                <w:sz w:val="22"/>
              </w:rPr>
              <w:t>-20.3%</w:t>
            </w:r>
          </w:p>
        </w:tc>
        <w:tc>
          <w:tcPr>
            <w:tcW w:type="dxa" w:w="1080"/>
          </w:tcPr>
          <w:p>
            <w:r>
              <w:rPr>
                <w:rFonts w:ascii="Calibri" w:hAnsi="Calibri"/>
                <w:sz w:val="22"/>
              </w:rPr>
              <w:t>No FY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(FY2026)</w:t>
            </w:r>
          </w:p>
        </w:tc>
        <w:tc>
          <w:tcPr>
            <w:tcW w:type="dxa" w:w="1080"/>
          </w:tcPr>
          <w:p>
            <w:r>
              <w:rPr>
                <w:rFonts w:ascii="Calibri" w:hAnsi="Calibri"/>
                <w:sz w:val="22"/>
              </w:rPr>
              <w:t>$35,112M</w:t>
            </w:r>
          </w:p>
        </w:tc>
        <w:tc>
          <w:tcPr>
            <w:tcW w:type="dxa" w:w="1080"/>
          </w:tcPr>
          <w:p>
            <w:r>
              <w:rPr>
                <w:rFonts w:ascii="Calibri" w:hAnsi="Calibri"/>
                <w:sz w:val="22"/>
              </w:rPr>
              <w:t>$33,050M</w:t>
            </w:r>
          </w:p>
        </w:tc>
        <w:tc>
          <w:tcPr>
            <w:tcW w:type="dxa" w:w="1080"/>
          </w:tcPr>
          <w:p>
            <w:r>
              <w:rPr>
                <w:rFonts w:ascii="Calibri" w:hAnsi="Calibri"/>
                <w:sz w:val="22"/>
              </w:rPr>
              <w:t>-5.9%</w:t>
            </w:r>
          </w:p>
        </w:tc>
        <w:tc>
          <w:tcPr>
            <w:tcW w:type="dxa" w:w="1080"/>
          </w:tcPr>
          <w:p>
            <w:r>
              <w:rPr>
                <w:rFonts w:ascii="Calibri" w:hAnsi="Calibri"/>
                <w:sz w:val="22"/>
              </w:rPr>
              <w:t>No FY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The FY2026 estimate revision shows a notable downward move from the immediate post-Q1 baseline — the May 6 snapshot captured peak optimism right after management’s bullish Q1 call, while current consensus has moderated as DOW’s Q2 results (July 23) signaled a June PE price settlement of -$0.15/lb and guided Q3 EBITDA ~26% below Q2. Q2 2026 estimates, however, have been remarkably stable (+0.3% EBITDA, +0.9% EPS), confirming the Street locked in the Q2 setup immediately post-Q1 print and has not materially revised since. The key post-Q2 earnings risk is whether FY estimates face further cuts if management guides Q3 conservatively in line with DOW’s tone.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LYB has dramatically underperformed since Q1 earnings — down </w:t>
      </w:r>
      <w:r>
        <w:rPr>
          <w:rFonts w:ascii="Calibri" w:hAnsi="Calibri"/>
          <w:b/>
          <w:color w:val="525866"/>
          <w:sz w:val="22"/>
        </w:rPr>
        <w:t>~19.4%</w:t>
      </w:r>
      <w:r>
        <w:rPr>
          <w:rFonts w:ascii="Calibri" w:hAnsi="Calibri"/>
          <w:color w:val="525866"/>
          <w:sz w:val="22"/>
        </w:rPr>
        <w:t xml:space="preserve"> vs. XLB +0.6% and SPY +2.9% — driven almost entirely by multiple compression and sentiment deterioration as the market grew skeptical of conflict-driven pricing durability; the stock’s de-rating from ~$75 to ~$60 has created a low-bar setup heading into Q2, but DOW’s Q3 guide suggests the earnings peak may be Q2, limiting re-rating potential.</w:t>
      </w:r>
    </w:p>
    <w:p>
      <w:r>
        <w:rPr>
          <w:i/>
        </w:rPr>
        <w:t>[Image not found: gs://implied-user-data-prod/conversations/yhua@lumosity.ai/projects/_default/history/2e69f751-a6c5-4801-b698-46dbbd55fdb2/plotly_charts/52ef3fd4-4ca8-4761-9d63-7069ddb1239a.json]</w:t>
      </w:r>
    </w:p>
    <w:p>
      <w:pPr>
        <w:jc w:val="center"/>
      </w:pPr>
      <w:r>
        <w:rPr>
          <w:i/>
          <w:color w:val="666666"/>
          <w:sz w:val="18"/>
        </w:rPr>
        <w:t>LYB vs XLB (Materials ETF) vs S&amp;P 500 — Indexed to 100 at Q1 2026 Earnings Date (May 1, 2026). Source: Stock Price Data.</w:t>
      </w:r>
    </w:p>
    <w:p>
      <w:r>
        <w:rPr>
          <w:rFonts w:ascii="Calibri" w:hAnsi="Calibri"/>
          <w:b/>
          <w:color w:val="525866"/>
          <w:sz w:val="22"/>
        </w:rPr>
        <w:t>Performance Summary (May 1 – July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Price at Earnings (5/1/26)</w:t>
            </w:r>
          </w:p>
        </w:tc>
        <w:tc>
          <w:tcPr>
            <w:tcW w:type="dxa" w:w="2160"/>
            <w:shd w:val="clear" w:color="auto" w:fill="3B4259"/>
          </w:tcPr>
          <w:p>
            <w:r>
              <w:rPr>
                <w:rFonts w:ascii="Calibri" w:hAnsi="Calibri"/>
                <w:b/>
                <w:color w:val="FFFFFF"/>
                <w:sz w:val="22"/>
              </w:rPr>
              <w:t>Price at 7/30/26</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LYB</w:t>
            </w:r>
          </w:p>
        </w:tc>
        <w:tc>
          <w:tcPr>
            <w:tcW w:type="dxa" w:w="2160"/>
          </w:tcPr>
          <w:p>
            <w:r>
              <w:rPr>
                <w:rFonts w:ascii="Calibri" w:hAnsi="Calibri"/>
                <w:sz w:val="22"/>
              </w:rPr>
              <w:t>$74.99</w:t>
            </w:r>
          </w:p>
        </w:tc>
        <w:tc>
          <w:tcPr>
            <w:tcW w:type="dxa" w:w="2160"/>
          </w:tcPr>
          <w:p>
            <w:r>
              <w:rPr>
                <w:rFonts w:ascii="Calibri" w:hAnsi="Calibri"/>
                <w:sz w:val="22"/>
              </w:rPr>
              <w:t>$60.44</w:t>
            </w:r>
          </w:p>
        </w:tc>
        <w:tc>
          <w:tcPr>
            <w:tcW w:type="dxa" w:w="2160"/>
          </w:tcPr>
          <w:p>
            <w:r>
              <w:rPr>
                <w:rFonts w:ascii="Calibri" w:hAnsi="Calibri"/>
                <w:b/>
                <w:color w:val="E5484D"/>
                <w:sz w:val="22"/>
              </w:rPr>
              <w:t>-19.4%</w:t>
            </w:r>
          </w:p>
        </w:tc>
      </w:tr>
      <w:tr>
        <w:tc>
          <w:tcPr>
            <w:tcW w:type="dxa" w:w="2160"/>
          </w:tcPr>
          <w:p>
            <w:r>
              <w:rPr>
                <w:rFonts w:ascii="Calibri" w:hAnsi="Calibri"/>
                <w:sz w:val="22"/>
              </w:rPr>
              <w:t>XLB (Materials ETF)</w:t>
            </w:r>
          </w:p>
        </w:tc>
        <w:tc>
          <w:tcPr>
            <w:tcW w:type="dxa" w:w="2160"/>
          </w:tcPr>
          <w:p>
            <w:r>
              <w:rPr>
                <w:rFonts w:ascii="Calibri" w:hAnsi="Calibri"/>
                <w:sz w:val="22"/>
              </w:rPr>
              <w:t>$51.35</w:t>
            </w:r>
          </w:p>
        </w:tc>
        <w:tc>
          <w:tcPr>
            <w:tcW w:type="dxa" w:w="2160"/>
          </w:tcPr>
          <w:p>
            <w:r>
              <w:rPr>
                <w:rFonts w:ascii="Calibri" w:hAnsi="Calibri"/>
                <w:sz w:val="22"/>
              </w:rPr>
              <w:t>$51.64</w:t>
            </w:r>
          </w:p>
        </w:tc>
        <w:tc>
          <w:tcPr>
            <w:tcW w:type="dxa" w:w="2160"/>
          </w:tcPr>
          <w:p>
            <w:r>
              <w:rPr>
                <w:rFonts w:ascii="Calibri" w:hAnsi="Calibri"/>
                <w:sz w:val="22"/>
              </w:rPr>
              <w:t>+0.6%</w:t>
            </w:r>
          </w:p>
        </w:tc>
      </w:tr>
      <w:tr>
        <w:tc>
          <w:tcPr>
            <w:tcW w:type="dxa" w:w="2160"/>
          </w:tcPr>
          <w:p>
            <w:r>
              <w:rPr>
                <w:rFonts w:ascii="Calibri" w:hAnsi="Calibri"/>
                <w:sz w:val="22"/>
              </w:rPr>
              <w:t>S&amp;P 500 (SPY)</w:t>
            </w:r>
          </w:p>
        </w:tc>
        <w:tc>
          <w:tcPr>
            <w:tcW w:type="dxa" w:w="2160"/>
          </w:tcPr>
          <w:p>
            <w:r>
              <w:rPr>
                <w:rFonts w:ascii="Calibri" w:hAnsi="Calibri"/>
                <w:sz w:val="22"/>
              </w:rPr>
              <w:t>$720.65</w:t>
            </w:r>
          </w:p>
        </w:tc>
        <w:tc>
          <w:tcPr>
            <w:tcW w:type="dxa" w:w="2160"/>
          </w:tcPr>
          <w:p>
            <w:r>
              <w:rPr>
                <w:rFonts w:ascii="Calibri" w:hAnsi="Calibri"/>
                <w:sz w:val="22"/>
              </w:rPr>
              <w:t>$741.69</w:t>
            </w:r>
          </w:p>
        </w:tc>
        <w:tc>
          <w:tcPr>
            <w:tcW w:type="dxa" w:w="2160"/>
          </w:tcPr>
          <w:p>
            <w:r>
              <w:rPr>
                <w:rFonts w:ascii="Calibri" w:hAnsi="Calibri"/>
                <w:sz w:val="22"/>
              </w:rPr>
              <w:t>+2.9%</w:t>
            </w:r>
          </w:p>
        </w:tc>
      </w:tr>
    </w:tbl>
    <w:p>
      <w:r>
        <w:rPr>
          <w:rFonts w:ascii="Calibri" w:hAnsi="Calibri"/>
          <w:b/>
          <w:color w:val="525866"/>
          <w:sz w:val="22"/>
        </w:rPr>
        <w:t xml:space="preserve">Key events driving the underperformance: </w:t>
      </w:r>
      <w:r>
        <w:rPr>
          <w:rFonts w:ascii="Calibri" w:hAnsi="Calibri"/>
          <w:color w:val="525866"/>
          <w:sz w:val="22"/>
        </w:rPr>
        <w:t>LYB peaked at ~$77.76 on May 5 (4 days post-earnings) before a sustained sell-off through late June, reaching a trough of ~$52.58 on July 1 (-30% from earnings). The stock partially recovered in mid-July (to ~$62) before settling around $60. The sell-off was driven by: (1) growing market skepticism that the $0.50/lb PE price increase would fully stick through Q2; (2) DOW’s Q2 print on July 23 confirming a $0.15/lb June settlement and guiding Q3 EBITDA ~26% below Q2; and (3) broader materials sector weakness as macro uncertainty weighed on cyclicals. The July 7 LYB/Mondelez sustainable packaging announcement provided a brief +3.1% lift but did not change the trend. At $60, LYB trades at a significant discount to its pre-conflict levels and to the implied mid-cycle value management has articulated.</w:t>
      </w:r>
    </w:p>
    <w:p>
      <w:r>
        <w:rPr>
          <w:rFonts w:ascii="Calibri" w:hAnsi="Calibri"/>
          <w:i/>
          <w:color w:val="525866"/>
          <w:sz w:val="22"/>
        </w:rPr>
        <w:t>Source: Stock Price Data (Yahoo Finance). Sector ETF: XLB (Materials Select Sector SPDR) — appropriate for LYB’s specialty chemicals / materials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DOW’s Q2 2026 print (July 23), which confirmed the conflict-driven PE pricing peak was Q2 and guided Q3 EBITDA ~26% lower sequentially — a direct read-through that the market has already priced into LYB’s stock (-19% since earnings) and that sets a cautious tone for LYB’s Q3 guidance language tomorrow.</w:t>
      </w:r>
    </w:p>
    <w:p>
      <w:pPr>
        <w:pStyle w:val="ListBullet"/>
        <w:ind w:left="360" w:hanging="360"/>
      </w:pPr>
      <w:r>
        <w:rPr>
          <w:rFonts w:ascii="Calibri" w:hAnsi="Calibri"/>
          <w:b/>
          <w:color w:val="525866"/>
          <w:sz w:val="22"/>
        </w:rPr>
        <w:t>[May 1, 2026] European Asset Sale to AEQUITA Completed.</w:t>
      </w:r>
      <w:r>
        <w:rPr>
          <w:rFonts w:ascii="Calibri" w:hAnsi="Calibri"/>
          <w:color w:val="525866"/>
          <w:sz w:val="22"/>
        </w:rPr>
        <w:t xml:space="preserve"> LYB completed the divestiture of four European sites (Berre France, Münchsmünster Germany, Carrington UK, Tarragona Spain) to AEQUITA on the same day as Q1 earnings. Reduces annual CapEx by ~€110M and fixed costs by ~€400M; retains €100M earnout provision. </w:t>
      </w:r>
      <w:r>
        <w:rPr>
          <w:rFonts w:ascii="Calibri" w:hAnsi="Calibri"/>
          <w:i/>
          <w:color w:val="525866"/>
          <w:sz w:val="22"/>
        </w:rPr>
        <w:t>Implication:</w:t>
      </w:r>
      <w:r>
        <w:rPr>
          <w:rFonts w:ascii="Calibri" w:hAnsi="Calibri"/>
          <w:color w:val="525866"/>
          <w:sz w:val="22"/>
        </w:rPr>
        <w:t xml:space="preserve"> Sharpens portfolio toward cost-advantaged assets; reduces EAI segment scope going forward; earnout could benefit if European margins continue rising.</w:t>
      </w:r>
    </w:p>
    <w:p>
      <w:pPr>
        <w:pStyle w:val="ListBullet"/>
        <w:ind w:left="360" w:hanging="360"/>
      </w:pPr>
      <w:r>
        <w:rPr>
          <w:rFonts w:ascii="Calibri" w:hAnsi="Calibri"/>
          <w:b/>
          <w:color w:val="525866"/>
          <w:sz w:val="22"/>
        </w:rPr>
        <w:t>[May 13, 2026] EVP Jeffrey Kaplan Open-Market Sale.</w:t>
      </w:r>
      <w:r>
        <w:rPr>
          <w:rFonts w:ascii="Calibri" w:hAnsi="Calibri"/>
          <w:color w:val="525866"/>
          <w:sz w:val="22"/>
        </w:rPr>
        <w:t xml:space="preserve"> EVP, Chief PC, Legal &amp; Corporate Officer sold 10,000 shares at market (~$73-75/share range, ~$730K-$750K value). </w:t>
      </w:r>
      <w:r>
        <w:rPr>
          <w:rFonts w:ascii="Calibri" w:hAnsi="Calibri"/>
          <w:i/>
          <w:color w:val="525866"/>
          <w:sz w:val="22"/>
        </w:rPr>
        <w:t>Implication:</w:t>
      </w:r>
      <w:r>
        <w:rPr>
          <w:rFonts w:ascii="Calibri" w:hAnsi="Calibri"/>
          <w:color w:val="525866"/>
          <w:sz w:val="22"/>
        </w:rPr>
        <w:t xml:space="preserve"> Discretionary open-market sale by a senior executive near the post-earnings peak; notable given the stock’s subsequent -19% decline.</w:t>
      </w:r>
    </w:p>
    <w:p>
      <w:pPr>
        <w:pStyle w:val="ListBullet"/>
        <w:ind w:left="360" w:hanging="360"/>
      </w:pPr>
      <w:r>
        <w:rPr>
          <w:rFonts w:ascii="Calibri" w:hAnsi="Calibri"/>
          <w:b/>
          <w:color w:val="525866"/>
          <w:sz w:val="22"/>
        </w:rPr>
        <w:t>[May 21, 2026] Annual Director Equity Grants.</w:t>
      </w:r>
      <w:r>
        <w:rPr>
          <w:rFonts w:ascii="Calibri" w:hAnsi="Calibri"/>
          <w:color w:val="525866"/>
          <w:sz w:val="22"/>
        </w:rPr>
        <w:t xml:space="preserve"> Nine directors received routine annual equity grants (2,321 shares each) as part of standard board compensation. Not a signal of directional view.</w:t>
      </w:r>
    </w:p>
    <w:p>
      <w:pPr>
        <w:pStyle w:val="ListBullet"/>
        <w:ind w:left="360" w:hanging="360"/>
      </w:pPr>
      <w:r>
        <w:rPr>
          <w:rFonts w:ascii="Calibri" w:hAnsi="Calibri"/>
          <w:b/>
          <w:color w:val="525866"/>
          <w:sz w:val="22"/>
        </w:rPr>
        <w:t>[July 7, 2026] LYB / Mondelez Sustainable Packaging Collaboration.</w:t>
      </w:r>
      <w:r>
        <w:rPr>
          <w:rFonts w:ascii="Calibri" w:hAnsi="Calibri"/>
          <w:color w:val="525866"/>
          <w:sz w:val="22"/>
        </w:rPr>
        <w:t xml:space="preserve"> LYB and Mondelez International announced a collaboration to produce Marabou chocolate bar flexible packaging sourced from recycled plastic (LYB’s Advanced Plastics Solutions segment). Stock rose +3.1% on the day. </w:t>
      </w:r>
      <w:r>
        <w:rPr>
          <w:rFonts w:ascii="Calibri" w:hAnsi="Calibri"/>
          <w:i/>
          <w:color w:val="525866"/>
          <w:sz w:val="22"/>
        </w:rPr>
        <w:t>Implication:</w:t>
      </w:r>
      <w:r>
        <w:rPr>
          <w:rFonts w:ascii="Calibri" w:hAnsi="Calibri"/>
          <w:color w:val="525866"/>
          <w:sz w:val="22"/>
        </w:rPr>
        <w:t xml:space="preserve"> Positive for APS segment narrative and circular economy positioning; not material to near-term financials but supports the long-term APS turnaround story.</w:t>
      </w:r>
    </w:p>
    <w:p>
      <w:pPr>
        <w:pStyle w:val="ListBullet"/>
        <w:ind w:left="360" w:hanging="360"/>
      </w:pPr>
      <w:r>
        <w:rPr>
          <w:rFonts w:ascii="Calibri" w:hAnsi="Calibri"/>
          <w:b/>
          <w:color w:val="525866"/>
          <w:sz w:val="22"/>
        </w:rPr>
        <w:t>[July 7, 2026] BMO Capital Cuts Price Target to $64.</w:t>
      </w:r>
      <w:r>
        <w:rPr>
          <w:rFonts w:ascii="Calibri" w:hAnsi="Calibri"/>
          <w:color w:val="525866"/>
          <w:sz w:val="22"/>
        </w:rPr>
        <w:t xml:space="preserve"> BMO Capital reduced its price target on LYB to $64 (from a higher level), reflecting moderated expectations for the durability of conflict-driven pricing. </w:t>
      </w:r>
      <w:r>
        <w:rPr>
          <w:rFonts w:ascii="Calibri" w:hAnsi="Calibri"/>
          <w:i/>
          <w:color w:val="525866"/>
          <w:sz w:val="22"/>
        </w:rPr>
        <w:t>Implication:</w:t>
      </w:r>
      <w:r>
        <w:rPr>
          <w:rFonts w:ascii="Calibri" w:hAnsi="Calibri"/>
          <w:color w:val="525866"/>
          <w:sz w:val="22"/>
        </w:rPr>
        <w:t xml:space="preserve"> Consensus analyst PT of ~$71.94 (MarketBeat) remains above current price of ~$60, but the direction of PT revisions is downward.</w:t>
      </w:r>
    </w:p>
    <w:p>
      <w:pPr>
        <w:pStyle w:val="ListBullet"/>
        <w:ind w:left="360" w:hanging="360"/>
      </w:pPr>
      <w:r>
        <w:rPr>
          <w:rFonts w:ascii="Calibri" w:hAnsi="Calibri"/>
          <w:b/>
          <w:color w:val="525866"/>
          <w:sz w:val="22"/>
        </w:rPr>
        <w:t>[July 7, 2026] LYB Named to Earnings Revisions Leaders List.</w:t>
      </w:r>
      <w:r>
        <w:rPr>
          <w:rFonts w:ascii="Calibri" w:hAnsi="Calibri"/>
          <w:color w:val="525866"/>
          <w:sz w:val="22"/>
        </w:rPr>
        <w:t xml:space="preserve"> LYB was cited alongside Nucor and HB Fuller as a top materials earnings-revisions name (MSN/Barron’s). </w:t>
      </w:r>
      <w:r>
        <w:rPr>
          <w:rFonts w:ascii="Calibri" w:hAnsi="Calibri"/>
          <w:i/>
          <w:color w:val="525866"/>
          <w:sz w:val="22"/>
        </w:rPr>
        <w:t>Implication:</w:t>
      </w:r>
      <w:r>
        <w:rPr>
          <w:rFonts w:ascii="Calibri" w:hAnsi="Calibri"/>
          <w:color w:val="525866"/>
          <w:sz w:val="22"/>
        </w:rPr>
        <w:t xml:space="preserve"> Positive momentum signal for estimate trajectory heading into Q2 print.</w:t>
      </w:r>
    </w:p>
    <w:p>
      <w:pPr>
        <w:pStyle w:val="ListBullet"/>
        <w:ind w:left="360" w:hanging="360"/>
      </w:pPr>
      <w:r>
        <w:rPr>
          <w:rFonts w:ascii="Calibri" w:hAnsi="Calibri"/>
          <w:b/>
          <w:color w:val="525866"/>
          <w:sz w:val="22"/>
        </w:rPr>
        <w:t>[July 23, 2026] DOW Q2 2026 Earnings — Key Read-Through.</w:t>
      </w:r>
      <w:r>
        <w:rPr>
          <w:rFonts w:ascii="Calibri" w:hAnsi="Calibri"/>
          <w:color w:val="525866"/>
          <w:sz w:val="22"/>
        </w:rPr>
        <w:t xml:space="preserve"> DOW reported Q2 net sales of $12.1B (+20% YoY) and operating EBITDA of $2.3B, driven by PE prices up &gt;40% YoY. However, DOW guided Q3 EBITDA to ~$1.7B (vs. $2.3B in Q2, -26% sequential), citing a $0.15/lb June PE price settlement and normal post-peak seasonal patterns. DOW also announced a $0.05/lb PE price increase for North America in late July as Strait of Hormuz tensions re-escalated. </w:t>
      </w:r>
      <w:r>
        <w:rPr>
          <w:rFonts w:ascii="Calibri" w:hAnsi="Calibri"/>
          <w:i/>
          <w:color w:val="525866"/>
          <w:sz w:val="22"/>
        </w:rPr>
        <w:t>Implication:</w:t>
      </w:r>
      <w:r>
        <w:rPr>
          <w:rFonts w:ascii="Calibri" w:hAnsi="Calibri"/>
          <w:color w:val="525866"/>
          <w:sz w:val="22"/>
        </w:rPr>
        <w:t xml:space="preserve"> Confirms Q2 was the peak quarter for conflict-driven PE margins; LYB’s Q2 result should be strong, but Q3 guidance will be the key focus for investors.</w:t>
      </w:r>
    </w:p>
    <w:p>
      <w:pPr>
        <w:pStyle w:val="ListBullet"/>
        <w:ind w:left="360" w:hanging="360"/>
      </w:pPr>
      <w:r>
        <w:rPr>
          <w:rFonts w:ascii="Calibri" w:hAnsi="Calibri"/>
          <w:b/>
          <w:color w:val="525866"/>
          <w:sz w:val="22"/>
        </w:rPr>
        <w:t>[Ongoing] Bayport Choate PO/TBA Facility Fire (March 12, 2026).</w:t>
      </w:r>
      <w:r>
        <w:rPr>
          <w:rFonts w:ascii="Calibri" w:hAnsi="Calibri"/>
          <w:color w:val="525866"/>
          <w:sz w:val="22"/>
        </w:rPr>
        <w:t xml:space="preserve"> All three PO/TBA plants at Bayport remain offline following the March fire; restart was guided for end of Q2 2026 with ~$25M/week earnings drag while down. Whether the restart occurred on schedule is a key Q2 I&amp;D variable. </w:t>
      </w:r>
      <w:r>
        <w:rPr>
          <w:rFonts w:ascii="Calibri" w:hAnsi="Calibri"/>
          <w:i/>
          <w:color w:val="525866"/>
          <w:sz w:val="22"/>
        </w:rPr>
        <w:t>Implication:</w:t>
      </w:r>
      <w:r>
        <w:rPr>
          <w:rFonts w:ascii="Calibri" w:hAnsi="Calibri"/>
          <w:color w:val="525866"/>
          <w:sz w:val="22"/>
        </w:rPr>
        <w:t xml:space="preserve"> If Bayport restarted in late June as guided, Q2 I&amp;D EBITDA could be at or above consensus; if delayed into Q3, I&amp;D will miss.</w:t>
      </w:r>
    </w:p>
    <w:p>
      <w:pPr>
        <w:pStyle w:val="ListBullet"/>
        <w:ind w:left="360" w:hanging="360"/>
      </w:pPr>
      <w:r>
        <w:rPr>
          <w:rFonts w:ascii="Calibri" w:hAnsi="Calibri"/>
          <w:b/>
          <w:color w:val="525866"/>
          <w:sz w:val="22"/>
        </w:rPr>
        <w:t>[Ongoing] Middle East Conflict — Strait of Hormuz Disruption.</w:t>
      </w:r>
      <w:r>
        <w:rPr>
          <w:rFonts w:ascii="Calibri" w:hAnsi="Calibri"/>
          <w:color w:val="525866"/>
          <w:sz w:val="22"/>
        </w:rPr>
        <w:t xml:space="preserve"> DOW confirmed (July 23) that Strait of Hormuz traffic remains below historical levels and geopolitical tensions remain elevated. A new attack in the Red Sea was cited. LYB management estimated &gt;20% of global ethylene, PE, and PP capacity impacted. </w:t>
      </w:r>
      <w:r>
        <w:rPr>
          <w:rFonts w:ascii="Calibri" w:hAnsi="Calibri"/>
          <w:i/>
          <w:color w:val="525866"/>
          <w:sz w:val="22"/>
        </w:rPr>
        <w:t>Implication:</w:t>
      </w:r>
      <w:r>
        <w:rPr>
          <w:rFonts w:ascii="Calibri" w:hAnsi="Calibri"/>
          <w:color w:val="525866"/>
          <w:sz w:val="22"/>
        </w:rPr>
        <w:t xml:space="preserve"> Sustained supply disruption supports LYB’s North American cost-advantaged position; however, DOW’s Q3 guide suggests the market is beginning to price in normalization.</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Peers reporting Q1 2026 results (May 2026) uniformly flagged a strong Q2 2026 setup driven by conflict-driven supply tightness, aggressive price increases, and high operating rates — all consistent with LYB’s own Q1 guidance; DOW’s actual Q2 2026 print (July 23) then confirmed the strong quarter but introduced a critical caveat: </w:t>
      </w:r>
      <w:r>
        <w:rPr>
          <w:rFonts w:ascii="Calibri" w:hAnsi="Calibri"/>
          <w:b/>
          <w:color w:val="525866"/>
          <w:sz w:val="22"/>
        </w:rPr>
        <w:t>the June PE price settlement of -$0.15/lb signals Q2 was the peak</w:t>
      </w:r>
      <w:r>
        <w:rPr>
          <w:rFonts w:ascii="Calibri" w:hAnsi="Calibri"/>
          <w:color w:val="525866"/>
          <w:sz w:val="22"/>
        </w:rPr>
        <w:t>, and Q3 will see meaningful sequential deceleration.</w:t>
      </w:r>
    </w:p>
    <w:p>
      <w:r>
        <w:rPr>
          <w:rFonts w:ascii="Calibri" w:hAnsi="Calibri"/>
          <w:b/>
          <w:color w:val="525866"/>
          <w:sz w:val="22"/>
        </w:rPr>
        <w:t xml:space="preserve">Note: </w:t>
      </w:r>
      <w:r>
        <w:rPr>
          <w:rFonts w:ascii="Calibri" w:hAnsi="Calibri"/>
          <w:i/>
          <w:color w:val="525866"/>
          <w:sz w:val="22"/>
        </w:rPr>
        <w:t>Only commentary about Q2 2026 (the current reporting quarter) is included below. Q1 2025 results commentary and prior-quarter retrospectives are excluded. Peers included: DOW (Q2 2026 actual results), WLK, HUN, EMN, OLN, CE (all Q1 2026 calls with Q2 2026 forward guidance).</w:t>
      </w:r>
    </w:p>
    <w:p>
      <w:pPr>
        <w:pStyle w:val="Heading3"/>
      </w:pPr>
      <w:r>
        <w:rPr>
          <w:rFonts w:ascii="Calibri" w:hAnsi="Calibri"/>
          <w:b/>
          <w:color w:val="3B4259"/>
          <w:sz w:val="24"/>
        </w:rPr>
        <w:t>DOW Inc. (DOW) — Q2 2026 Actual Results (Reported July 23, 2026)</w:t>
      </w:r>
    </w:p>
    <w:p>
      <w:r>
        <w:rPr>
          <w:rFonts w:ascii="Calibri" w:hAnsi="Calibri"/>
          <w:b/>
          <w:color w:val="525866"/>
          <w:sz w:val="22"/>
        </w:rPr>
        <w:t xml:space="preserve">Relevance to LYB: </w:t>
      </w:r>
      <w:r>
        <w:rPr>
          <w:rFonts w:ascii="Calibri" w:hAnsi="Calibri"/>
          <w:color w:val="525866"/>
          <w:sz w:val="22"/>
        </w:rPr>
        <w:t>DOW is LYB’s closest peer in polyethylene and polyolefins; its Q2 actual results are the single most important read-through for LYB’s Q2 print.</w:t>
      </w:r>
    </w:p>
    <w:p>
      <w:pPr>
        <w:pStyle w:val="ListBullet"/>
        <w:ind w:left="360" w:hanging="360"/>
      </w:pPr>
      <w:r>
        <w:rPr>
          <w:rFonts w:ascii="Calibri" w:hAnsi="Calibri"/>
          <w:b/>
          <w:color w:val="525866"/>
          <w:sz w:val="22"/>
        </w:rPr>
        <w:t>PE pricing up &gt;40% YoY in Q2, with benefits seen “broadly across all regions and all applications.”</w:t>
      </w:r>
      <w:r>
        <w:rPr>
          <w:rFonts w:ascii="Calibri" w:hAnsi="Calibri"/>
          <w:color w:val="525866"/>
          <w:sz w:val="22"/>
        </w:rPr>
        <w:t xml:space="preserve"> DOW’s Packaging &amp; Specialty Plastics segment net sales were $6.4B (+27% YoY) and operating EBIT ~$1.3B. This is a strong read-through for LYB’s O&amp;P Americas segment, which guided 90% utilization and PE orders 20% above pre-war averages.</w:t>
      </w:r>
    </w:p>
    <w:p>
      <w:pPr>
        <w:pStyle w:val="ListBullet"/>
        <w:ind w:left="360" w:hanging="360"/>
      </w:pPr>
      <w:r>
        <w:rPr>
          <w:rFonts w:ascii="Calibri" w:hAnsi="Calibri"/>
          <w:b/>
          <w:color w:val="525866"/>
          <w:sz w:val="22"/>
        </w:rPr>
        <w:t>June PE price settlement of -$0.15/lb is the critical data point.</w:t>
      </w:r>
      <w:r>
        <w:rPr>
          <w:rFonts w:ascii="Calibri" w:hAnsi="Calibri"/>
          <w:color w:val="525866"/>
          <w:sz w:val="22"/>
        </w:rPr>
        <w:t xml:space="preserve"> DOW’s Q3 guide assumes a $0.10/lb decline in global integrated margins vs. Q2, incorporating the $0.15/lb June settlement with no additional quarterly price movement assumed. This directly impacts LYB’s Q2 realized margins (how much of the June rollback hit Q2 vs. Q3) and will shape LYB’s Q3 guidance language.</w:t>
      </w:r>
    </w:p>
    <w:p>
      <w:pPr>
        <w:pStyle w:val="ListBullet"/>
        <w:ind w:left="360" w:hanging="360"/>
      </w:pPr>
      <w:r>
        <w:rPr>
          <w:rFonts w:ascii="Calibri" w:hAnsi="Calibri"/>
          <w:b/>
          <w:color w:val="525866"/>
          <w:sz w:val="22"/>
        </w:rPr>
        <w:t>Q3 2026 EBITDA guided to ~$1.7B (vs. $2.3B in Q2, -26% sequential).</w:t>
      </w:r>
      <w:r>
        <w:rPr>
          <w:rFonts w:ascii="Calibri" w:hAnsi="Calibri"/>
          <w:color w:val="525866"/>
          <w:sz w:val="22"/>
        </w:rPr>
        <w:t xml:space="preserve"> DOW cited “normal patterns that typically follow high seasonal demand in Q2” and the June price settlement. However, DOW noted that recent market dynamics (oil up $10, PE prices rising in China, Strait of Hormuz re-blockage) could be “upside to the $1.7B guide.” DOW also announced a $0.05/lb PE price increase for North America in late July.</w:t>
      </w:r>
    </w:p>
    <w:p>
      <w:pPr>
        <w:pStyle w:val="ListBullet"/>
        <w:ind w:left="360" w:hanging="360"/>
      </w:pPr>
      <w:r>
        <w:rPr>
          <w:rFonts w:ascii="Calibri" w:hAnsi="Calibri"/>
          <w:b/>
          <w:color w:val="525866"/>
          <w:sz w:val="22"/>
        </w:rPr>
        <w:t>Packaging demand remains “resilient globally”; Americas consumers “remained steady.”</w:t>
      </w:r>
      <w:r>
        <w:rPr>
          <w:rFonts w:ascii="Calibri" w:hAnsi="Calibri"/>
          <w:color w:val="525866"/>
          <w:sz w:val="22"/>
        </w:rPr>
        <w:t xml:space="preserve"> Positive for LYB’s volume outlook. However, DOW noted lower PE volumes in EMEAI and Asia Pacific, with growth only in the Americas — consistent with LYB’s North American cost-advantage thesis.</w:t>
      </w:r>
    </w:p>
    <w:p>
      <w:pPr>
        <w:pStyle w:val="ListBullet"/>
        <w:ind w:left="360" w:hanging="360"/>
      </w:pPr>
      <w:r>
        <w:rPr>
          <w:rFonts w:ascii="Calibri" w:hAnsi="Calibri"/>
          <w:b/>
          <w:color w:val="525866"/>
          <w:sz w:val="22"/>
        </w:rPr>
        <w:t>Strait of Hormuz “remains below historical levels”; geopolitical tensions “remain elevated.”</w:t>
      </w:r>
      <w:r>
        <w:rPr>
          <w:rFonts w:ascii="Calibri" w:hAnsi="Calibri"/>
          <w:color w:val="525866"/>
          <w:sz w:val="22"/>
        </w:rPr>
        <w:t xml:space="preserve"> DOW confirmed the structural supply disruption is ongoing, supporting LYB’s multi-quarter disruption thesis. However, the market is beginning to price in normalization given the June price settlement.</w:t>
      </w:r>
    </w:p>
    <w:p>
      <w:pPr>
        <w:pStyle w:val="ListBullet"/>
        <w:ind w:left="360" w:hanging="360"/>
      </w:pPr>
      <w:r>
        <w:rPr>
          <w:rFonts w:ascii="Calibri" w:hAnsi="Calibri"/>
          <w:b/>
          <w:color w:val="525866"/>
          <w:sz w:val="22"/>
        </w:rPr>
        <w:t>I&amp;D read-through: DOW’s Industrial Intermediates segment saw Q2 strength from “supply disruptions impacting peers” in MDI and PEO.</w:t>
      </w:r>
      <w:r>
        <w:rPr>
          <w:rFonts w:ascii="Calibri" w:hAnsi="Calibri"/>
          <w:color w:val="525866"/>
          <w:sz w:val="22"/>
        </w:rPr>
        <w:t xml:space="preserve"> This is a direct reference to LYB’s Bayport PO/TBA outage — DOW benefited from LYB’s downtime. DOW expects these supply disruptions to “start to dissipate” in Q3, implying LYB’s Bayport restart (if on schedule) will normalize the PO market.</w:t>
      </w:r>
    </w:p>
    <w:p>
      <w:pPr>
        <w:pStyle w:val="Heading3"/>
      </w:pPr>
      <w:r>
        <w:rPr>
          <w:rFonts w:ascii="Calibri" w:hAnsi="Calibri"/>
          <w:b/>
          <w:color w:val="3B4259"/>
          <w:sz w:val="24"/>
        </w:rPr>
        <w:t>Westlake Corporation (WLK) — Q1 2026 Earnings Call (May 5, 2026) — Q2 2026 Outlook</w:t>
      </w:r>
    </w:p>
    <w:p>
      <w:r>
        <w:rPr>
          <w:rFonts w:ascii="Calibri" w:hAnsi="Calibri"/>
          <w:b/>
          <w:color w:val="525866"/>
          <w:sz w:val="22"/>
        </w:rPr>
        <w:t xml:space="preserve">Relevance to LYB: </w:t>
      </w:r>
      <w:r>
        <w:rPr>
          <w:rFonts w:ascii="Calibri" w:hAnsi="Calibri"/>
          <w:color w:val="525866"/>
          <w:sz w:val="22"/>
        </w:rPr>
        <w:t>WLK is a direct PE and PVC competitor with a similar North American ethane-advantaged cost structure; its Q2 2026 setup commentary is highly relevant to LYB’s O&amp;P Americas segment.</w:t>
      </w:r>
    </w:p>
    <w:p>
      <w:pPr>
        <w:pStyle w:val="ListBullet"/>
        <w:ind w:left="360" w:hanging="360"/>
      </w:pPr>
      <w:r>
        <w:rPr>
          <w:rFonts w:ascii="Calibri" w:hAnsi="Calibri"/>
          <w:b/>
          <w:color w:val="525866"/>
          <w:sz w:val="22"/>
        </w:rPr>
        <w:t>PE running at “full rates” with “very good” demand levels.</w:t>
      </w:r>
      <w:r>
        <w:rPr>
          <w:rFonts w:ascii="Calibri" w:hAnsi="Calibri"/>
          <w:color w:val="525866"/>
          <w:sz w:val="22"/>
        </w:rPr>
        <w:t xml:space="preserve"> WLK confirmed $0.30/lb PE increase achieved in April and $0.20/lb announced for May — identical to LYB’s price increase announcements. WLK’s PEM segment EBIT was “very positive” in March and expected to be “quite strong” in Q2.</w:t>
      </w:r>
    </w:p>
    <w:p>
      <w:pPr>
        <w:pStyle w:val="ListBullet"/>
        <w:ind w:left="360" w:hanging="360"/>
      </w:pPr>
      <w:r>
        <w:rPr>
          <w:rFonts w:ascii="Calibri" w:hAnsi="Calibri"/>
          <w:b/>
          <w:color w:val="525866"/>
          <w:sz w:val="22"/>
        </w:rPr>
        <w:t>Middle East supply disruptions expected to “persist throughout 2026.”</w:t>
      </w:r>
      <w:r>
        <w:rPr>
          <w:rFonts w:ascii="Calibri" w:hAnsi="Calibri"/>
          <w:color w:val="525866"/>
          <w:sz w:val="22"/>
        </w:rPr>
        <w:t xml:space="preserve"> WLK estimated 10-15% of global PE supply and ~5% of global PVC supply disrupted. Up to 20% of global oil supply disrupted, reducing naphtha availability. Strongly corroborates LYB’s &gt;20% global capacity impact estimate.</w:t>
      </w:r>
    </w:p>
    <w:p>
      <w:pPr>
        <w:pStyle w:val="ListBullet"/>
        <w:ind w:left="360" w:hanging="360"/>
      </w:pPr>
      <w:r>
        <w:rPr>
          <w:rFonts w:ascii="Calibri" w:hAnsi="Calibri"/>
          <w:b/>
          <w:color w:val="525866"/>
          <w:sz w:val="22"/>
        </w:rPr>
        <w:t>Natural gas prices declined to lowest levels since 2024 by end of March, removing a Q1 headwind.</w:t>
      </w:r>
      <w:r>
        <w:rPr>
          <w:rFonts w:ascii="Calibri" w:hAnsi="Calibri"/>
          <w:color w:val="525866"/>
          <w:sz w:val="22"/>
        </w:rPr>
        <w:t xml:space="preserve"> WLK flagged a $45M EBITDA headwind from elevated natural gas in Q1 that will not repeat in Q2 — a tailwind for LYB’s O&amp;P Americas margins as well.</w:t>
      </w:r>
    </w:p>
    <w:p>
      <w:pPr>
        <w:pStyle w:val="ListBullet"/>
        <w:ind w:left="360" w:hanging="360"/>
      </w:pPr>
      <w:r>
        <w:rPr>
          <w:rFonts w:ascii="Calibri" w:hAnsi="Calibri"/>
          <w:b/>
          <w:color w:val="525866"/>
          <w:sz w:val="22"/>
        </w:rPr>
        <w:t>HIP segment (housing/infrastructure) order book “very good” for Q2 volumes.</w:t>
      </w:r>
      <w:r>
        <w:rPr>
          <w:rFonts w:ascii="Calibri" w:hAnsi="Calibri"/>
          <w:color w:val="525866"/>
          <w:sz w:val="22"/>
        </w:rPr>
        <w:t xml:space="preserve"> Data center cooling water demand growing (mid-teens % of HIP volume). Mixed housing signals (starts 1.5M but permits only 1.3M). Less directly relevant to LYB but confirms end-market demand is holding.</w:t>
      </w:r>
    </w:p>
    <w:p>
      <w:pPr>
        <w:pStyle w:val="ListBullet"/>
        <w:ind w:left="360" w:hanging="360"/>
      </w:pPr>
      <w:r>
        <w:rPr>
          <w:rFonts w:ascii="Calibri" w:hAnsi="Calibri"/>
          <w:b/>
          <w:color w:val="525866"/>
          <w:sz w:val="22"/>
        </w:rPr>
        <w:t>Overall 2026 earnings outlook “improved meaningfully” since last earnings call.</w:t>
      </w:r>
      <w:r>
        <w:rPr>
          <w:rFonts w:ascii="Calibri" w:hAnsi="Calibri"/>
          <w:color w:val="525866"/>
          <w:sz w:val="22"/>
        </w:rPr>
        <w:t xml:space="preserve"> WLK expects to achieve full $600M EBITDA uplift from its 3-pillar profitability plan in 2026. Positive read-through for LYB’s own Cash Improvement Plan execution.</w:t>
      </w:r>
    </w:p>
    <w:p>
      <w:pPr>
        <w:pStyle w:val="Heading3"/>
      </w:pPr>
      <w:r>
        <w:rPr>
          <w:rFonts w:ascii="Calibri" w:hAnsi="Calibri"/>
          <w:b/>
          <w:color w:val="3B4259"/>
          <w:sz w:val="24"/>
        </w:rPr>
        <w:t>Huntsman Corporation (HUN) — Q1 2026 Earnings Call (May 1, 2026) — Q2 2026 Outlook</w:t>
      </w:r>
    </w:p>
    <w:p>
      <w:r>
        <w:rPr>
          <w:rFonts w:ascii="Calibri" w:hAnsi="Calibri"/>
          <w:b/>
          <w:color w:val="525866"/>
          <w:sz w:val="22"/>
        </w:rPr>
        <w:t xml:space="preserve">Relevance to LYB: </w:t>
      </w:r>
      <w:r>
        <w:rPr>
          <w:rFonts w:ascii="Calibri" w:hAnsi="Calibri"/>
          <w:color w:val="525866"/>
          <w:sz w:val="22"/>
        </w:rPr>
        <w:t>HUN’s MDI/polyurethanes business overlaps with LYB’s I&amp;D segment (PO/polyols); its commentary on Q2 demand and pricing is a read-through for LYB’s I&amp;D and APS segments.</w:t>
      </w:r>
    </w:p>
    <w:p>
      <w:pPr>
        <w:pStyle w:val="ListBullet"/>
        <w:ind w:left="360" w:hanging="360"/>
      </w:pPr>
      <w:r>
        <w:rPr>
          <w:rFonts w:ascii="Calibri" w:hAnsi="Calibri"/>
          <w:b/>
          <w:color w:val="525866"/>
          <w:sz w:val="22"/>
        </w:rPr>
        <w:t>Q2 2026 demand “stronger than expected” driven by three factors: seasonality, pre-buying ahead of price increases, and trade flow disruptions.</w:t>
      </w:r>
      <w:r>
        <w:rPr>
          <w:rFonts w:ascii="Calibri" w:hAnsi="Calibri"/>
          <w:color w:val="525866"/>
          <w:sz w:val="22"/>
        </w:rPr>
        <w:t xml:space="preserve"> HUN’s MDI operations in China and the U.S. are “sold out.” Industry MDI operating rates moving from low-to-mid 80s to mid-to-upper 80s, potentially reaching 90% globally — a level where the industry “starts to strain.”</w:t>
      </w:r>
    </w:p>
    <w:p>
      <w:pPr>
        <w:pStyle w:val="ListBullet"/>
        <w:ind w:left="360" w:hanging="360"/>
      </w:pPr>
      <w:r>
        <w:rPr>
          <w:rFonts w:ascii="Calibri" w:hAnsi="Calibri"/>
          <w:b/>
          <w:color w:val="525866"/>
          <w:sz w:val="22"/>
        </w:rPr>
        <w:t>HUN aggressively raising prices to offset rising raw material costs and expand margins from “trough economics.”</w:t>
      </w:r>
      <w:r>
        <w:rPr>
          <w:rFonts w:ascii="Calibri" w:hAnsi="Calibri"/>
          <w:color w:val="525866"/>
          <w:sz w:val="22"/>
        </w:rPr>
        <w:t xml:space="preserve"> Expects positive price/mix for the full company in Q2 — a trend not seen since 2022. Projects absorbing “well in excess of $100M of raw material costs” in Q2 and expects to offset with higher prices.</w:t>
      </w:r>
    </w:p>
    <w:p>
      <w:pPr>
        <w:pStyle w:val="ListBullet"/>
        <w:ind w:left="360" w:hanging="360"/>
      </w:pPr>
      <w:r>
        <w:rPr>
          <w:rFonts w:ascii="Calibri" w:hAnsi="Calibri"/>
          <w:b/>
          <w:color w:val="525866"/>
          <w:sz w:val="22"/>
        </w:rPr>
        <w:t>Saudi Arabia ethyleneamines JV (on the “wrong side of the Strait of Hormuz”) operating at ~50% capacity, trucking material to Red Sea.</w:t>
      </w:r>
      <w:r>
        <w:rPr>
          <w:rFonts w:ascii="Calibri" w:hAnsi="Calibri"/>
          <w:color w:val="525866"/>
          <w:sz w:val="22"/>
        </w:rPr>
        <w:t xml:space="preserve"> ~$4-5M quarterly impact. Relevant read-through for LYB’s Middle East JV operations and logistics constraints.</w:t>
      </w:r>
    </w:p>
    <w:p>
      <w:pPr>
        <w:pStyle w:val="ListBullet"/>
        <w:ind w:left="360" w:hanging="360"/>
      </w:pPr>
      <w:r>
        <w:rPr>
          <w:rFonts w:ascii="Calibri" w:hAnsi="Calibri"/>
          <w:b/>
          <w:color w:val="525866"/>
          <w:sz w:val="22"/>
        </w:rPr>
        <w:t>Visibility “becomes less clear further into the quarter”; concern about inflationary pressures leading to demand destruction later in the year.</w:t>
      </w:r>
      <w:r>
        <w:rPr>
          <w:rFonts w:ascii="Calibri" w:hAnsi="Calibri"/>
          <w:color w:val="525866"/>
          <w:sz w:val="22"/>
        </w:rPr>
        <w:t xml:space="preserve"> HUN flagged June as a “wildcard” — consistent with DOW’s actual Q2 experience where June saw the $0.15/lb PE price settlement.</w:t>
      </w:r>
    </w:p>
    <w:p>
      <w:pPr>
        <w:pStyle w:val="Heading3"/>
      </w:pPr>
      <w:r>
        <w:rPr>
          <w:rFonts w:ascii="Calibri" w:hAnsi="Calibri"/>
          <w:b/>
          <w:color w:val="3B4259"/>
          <w:sz w:val="24"/>
        </w:rPr>
        <w:t>Eastman Chemical (EMN) — Q1 2026 Earnings Call (May 1, 2026) — Q2 2026 Outlook</w:t>
      </w:r>
    </w:p>
    <w:p>
      <w:r>
        <w:rPr>
          <w:rFonts w:ascii="Calibri" w:hAnsi="Calibri"/>
          <w:b/>
          <w:color w:val="525866"/>
          <w:sz w:val="22"/>
        </w:rPr>
        <w:t xml:space="preserve">Relevance to LYB: </w:t>
      </w:r>
      <w:r>
        <w:rPr>
          <w:rFonts w:ascii="Calibri" w:hAnsi="Calibri"/>
          <w:color w:val="525866"/>
          <w:sz w:val="22"/>
        </w:rPr>
        <w:t>EMN’s Chemical Intermediates segment (olefins, acetyls) overlaps with LYB’s I&amp;D segment; its commentary on Q2 pricing and supply tightness is a read-through for LYB’s acetyls and oxyfuels businesses.</w:t>
      </w:r>
    </w:p>
    <w:p>
      <w:pPr>
        <w:pStyle w:val="ListBullet"/>
        <w:ind w:left="360" w:hanging="360"/>
      </w:pPr>
      <w:r>
        <w:rPr>
          <w:rFonts w:ascii="Calibri" w:hAnsi="Calibri"/>
          <w:b/>
          <w:color w:val="525866"/>
          <w:sz w:val="22"/>
        </w:rPr>
        <w:t>Chemical Intermediates (CI) sequential price increases “approaching 20%” from Q1 to Q2.</w:t>
      </w:r>
      <w:r>
        <w:rPr>
          <w:rFonts w:ascii="Calibri" w:hAnsi="Calibri"/>
          <w:color w:val="525866"/>
          <w:sz w:val="22"/>
        </w:rPr>
        <w:t xml:space="preserve"> EMN expects to “sell everything that we can make” in CI, with more volume available due to fewer cracker turnarounds. Methanol pricing doubled in 3 months ($300 to $600/ton) — directly corroborated by LYB’s Q1 call commentary. Acid pricing up 50%, VAM up 100%.</w:t>
      </w:r>
    </w:p>
    <w:p>
      <w:pPr>
        <w:pStyle w:val="ListBullet"/>
        <w:ind w:left="360" w:hanging="360"/>
      </w:pPr>
      <w:r>
        <w:rPr>
          <w:rFonts w:ascii="Calibri" w:hAnsi="Calibri"/>
          <w:b/>
          <w:color w:val="525866"/>
          <w:sz w:val="22"/>
        </w:rPr>
        <w:t>EMN expects Q2 CI EBIT of ~$50M, with Q3 “more similar than substantially up.”</w:t>
      </w:r>
      <w:r>
        <w:rPr>
          <w:rFonts w:ascii="Calibri" w:hAnsi="Calibri"/>
          <w:color w:val="525866"/>
          <w:sz w:val="22"/>
        </w:rPr>
        <w:t xml:space="preserve"> If the Strait opens, “some pressure is going to come off in the marketplace.” However, EMN believes moderation “won’t go all the way back to pre-conflict” levels — consistent with LYB’s sustained geopolitical risk premium thesis.</w:t>
      </w:r>
    </w:p>
    <w:p>
      <w:pPr>
        <w:pStyle w:val="ListBullet"/>
        <w:ind w:left="360" w:hanging="360"/>
      </w:pPr>
      <w:r>
        <w:rPr>
          <w:rFonts w:ascii="Calibri" w:hAnsi="Calibri"/>
          <w:b/>
          <w:color w:val="525866"/>
          <w:sz w:val="22"/>
        </w:rPr>
        <w:t>“Quantity shortage is an impact to the world that we haven’t actually seen yet.”</w:t>
      </w:r>
      <w:r>
        <w:rPr>
          <w:rFonts w:ascii="Calibri" w:hAnsi="Calibri"/>
          <w:color w:val="525866"/>
          <w:sz w:val="22"/>
        </w:rPr>
        <w:t xml:space="preserve"> EMN flagged that customers are living off inventory that will run out, leading to more shortages — a bullish read-through for LYB’s Q2 volume and pricing realization.</w:t>
      </w:r>
    </w:p>
    <w:p>
      <w:pPr>
        <w:pStyle w:val="ListBullet"/>
        <w:ind w:left="360" w:hanging="360"/>
      </w:pPr>
      <w:r>
        <w:rPr>
          <w:rFonts w:ascii="Calibri" w:hAnsi="Calibri"/>
          <w:b/>
          <w:color w:val="525866"/>
          <w:sz w:val="22"/>
        </w:rPr>
        <w:t>End market demand “hasn’t really changed dramatically” — consumer discretionary and durables still challenged.</w:t>
      </w:r>
      <w:r>
        <w:rPr>
          <w:rFonts w:ascii="Calibri" w:hAnsi="Calibri"/>
          <w:color w:val="525866"/>
          <w:sz w:val="22"/>
        </w:rPr>
        <w:t xml:space="preserve"> Auto market expected down low-single-digits YoY. This is a headwind for LYB’s APS segment, which serves automotive and durable goods markets.</w:t>
      </w:r>
    </w:p>
    <w:p>
      <w:pPr>
        <w:pStyle w:val="ListBullet"/>
        <w:ind w:left="360" w:hanging="360"/>
      </w:pPr>
      <w:r>
        <w:rPr>
          <w:rFonts w:ascii="Calibri" w:hAnsi="Calibri"/>
          <w:b/>
          <w:color w:val="525866"/>
          <w:sz w:val="22"/>
        </w:rPr>
        <w:t>Order books “really strong” for March, April, May; “June is a wildcard.”</w:t>
      </w:r>
      <w:r>
        <w:rPr>
          <w:rFonts w:ascii="Calibri" w:hAnsi="Calibri"/>
          <w:color w:val="525866"/>
          <w:sz w:val="22"/>
        </w:rPr>
        <w:t xml:space="preserve"> Prescient comment — DOW’s actual Q2 results confirmed June was indeed the inflection point with the $0.15/lb PE settlement.</w:t>
      </w:r>
    </w:p>
    <w:p>
      <w:pPr>
        <w:pStyle w:val="Heading3"/>
      </w:pPr>
      <w:r>
        <w:rPr>
          <w:rFonts w:ascii="Calibri" w:hAnsi="Calibri"/>
          <w:b/>
          <w:color w:val="3B4259"/>
          <w:sz w:val="24"/>
        </w:rPr>
        <w:t>Olin Corporation (OLN) — Q1 2026 Earnings Call (May 8, 2026) — Q2 2026 Outlook</w:t>
      </w:r>
    </w:p>
    <w:p>
      <w:r>
        <w:rPr>
          <w:rFonts w:ascii="Calibri" w:hAnsi="Calibri"/>
          <w:b/>
          <w:color w:val="525866"/>
          <w:sz w:val="22"/>
        </w:rPr>
        <w:t xml:space="preserve">Relevance to LYB: </w:t>
      </w:r>
      <w:r>
        <w:rPr>
          <w:rFonts w:ascii="Calibri" w:hAnsi="Calibri"/>
          <w:color w:val="525866"/>
          <w:sz w:val="22"/>
        </w:rPr>
        <w:t>OLN’s chlor-alkali and epoxy businesses overlap with LYB’s I&amp;D segment; its commentary on supply tightness and pricing momentum is a read-through for LYB’s I&amp;D chemicals businesses.</w:t>
      </w:r>
    </w:p>
    <w:p>
      <w:pPr>
        <w:pStyle w:val="ListBullet"/>
        <w:ind w:left="360" w:hanging="360"/>
      </w:pPr>
      <w:r>
        <w:rPr>
          <w:rFonts w:ascii="Calibri" w:hAnsi="Calibri"/>
          <w:b/>
          <w:color w:val="525866"/>
          <w:sz w:val="22"/>
        </w:rPr>
        <w:t>OLN guided Q2 adjusted EBITDA of $160-200M (midpoint $180M), a “significant sequential improvement” from Q1’s ~$86M.</w:t>
      </w:r>
      <w:r>
        <w:rPr>
          <w:rFonts w:ascii="Calibri" w:hAnsi="Calibri"/>
          <w:color w:val="525866"/>
          <w:sz w:val="22"/>
        </w:rPr>
        <w:t xml:space="preserve"> Driven by improved pricing and seasonally higher demand across CAPV and Epoxy. Caustic soda price increases of $185/ton announced for H1 2026.</w:t>
      </w:r>
    </w:p>
    <w:p>
      <w:pPr>
        <w:pStyle w:val="ListBullet"/>
        <w:ind w:left="360" w:hanging="360"/>
      </w:pPr>
      <w:r>
        <w:rPr>
          <w:rFonts w:ascii="Calibri" w:hAnsi="Calibri"/>
          <w:b/>
          <w:color w:val="525866"/>
          <w:sz w:val="22"/>
        </w:rPr>
        <w:t>6-9% of annual global vinyls capacity offline — a “good proxy for global ECU capacity offline.”</w:t>
      </w:r>
      <w:r>
        <w:rPr>
          <w:rFonts w:ascii="Calibri" w:hAnsi="Calibri"/>
          <w:color w:val="525866"/>
          <w:sz w:val="22"/>
        </w:rPr>
        <w:t xml:space="preserve"> Several Asian vinyls producers declared force majeure due to limited feedstock access. This tightens the chlor-alkali market, benefiting LYB’s I&amp;D acetyls and related businesses.</w:t>
      </w:r>
    </w:p>
    <w:p>
      <w:pPr>
        <w:pStyle w:val="ListBullet"/>
        <w:ind w:left="360" w:hanging="360"/>
      </w:pPr>
      <w:r>
        <w:rPr>
          <w:rFonts w:ascii="Calibri" w:hAnsi="Calibri"/>
          <w:b/>
          <w:color w:val="525866"/>
          <w:sz w:val="22"/>
        </w:rPr>
        <w:t>Even with ceasefire discussions, Brent oil remains &gt;$100/barrel and U.S. natural gas at $2.70-2.80 — “a really sizable advantage for U.S. producers.”</w:t>
      </w:r>
      <w:r>
        <w:rPr>
          <w:rFonts w:ascii="Calibri" w:hAnsi="Calibri"/>
          <w:color w:val="525866"/>
          <w:sz w:val="22"/>
        </w:rPr>
        <w:t xml:space="preserve"> Strongly corroborates LYB’s North American cost-advantage thesis and the durability of the pricing environment.</w:t>
      </w:r>
    </w:p>
    <w:p>
      <w:pPr>
        <w:pStyle w:val="ListBullet"/>
        <w:ind w:left="360" w:hanging="360"/>
      </w:pPr>
      <w:r>
        <w:rPr>
          <w:rFonts w:ascii="Calibri" w:hAnsi="Calibri"/>
          <w:b/>
          <w:color w:val="525866"/>
          <w:sz w:val="22"/>
        </w:rPr>
        <w:t>OLN does not believe Q2 earnings approach “mid-cycle or normalized” levels — “significant future upside potential.”</w:t>
      </w:r>
      <w:r>
        <w:rPr>
          <w:rFonts w:ascii="Calibri" w:hAnsi="Calibri"/>
          <w:color w:val="525866"/>
          <w:sz w:val="22"/>
        </w:rPr>
        <w:t xml:space="preserve"> Bullish long-term read-through for LYB’s cycle recovery narrative.</w:t>
      </w:r>
    </w:p>
    <w:p>
      <w:pPr>
        <w:pStyle w:val="Heading3"/>
      </w:pPr>
      <w:r>
        <w:rPr>
          <w:rFonts w:ascii="Calibri" w:hAnsi="Calibri"/>
          <w:b/>
          <w:color w:val="3B4259"/>
          <w:sz w:val="24"/>
        </w:rPr>
        <w:t>Celanese Corporation (CE) — Q1 2026 Earnings Call (May 6, 2026) — Q2 2026 Outlook</w:t>
      </w:r>
    </w:p>
    <w:p>
      <w:r>
        <w:rPr>
          <w:rFonts w:ascii="Calibri" w:hAnsi="Calibri"/>
          <w:b/>
          <w:color w:val="525866"/>
          <w:sz w:val="22"/>
        </w:rPr>
        <w:t xml:space="preserve">Relevance to LYB: </w:t>
      </w:r>
      <w:r>
        <w:rPr>
          <w:rFonts w:ascii="Calibri" w:hAnsi="Calibri"/>
          <w:color w:val="525866"/>
          <w:sz w:val="22"/>
        </w:rPr>
        <w:t>CE’s Acetyl Chain (acetic acid, VAM, methanol) overlaps with LYB’s I&amp;D acetyls business; its commentary on Q2 pricing and supply dynamics is a read-through for LYB’s acetyls segment.</w:t>
      </w:r>
    </w:p>
    <w:p>
      <w:pPr>
        <w:pStyle w:val="ListBullet"/>
        <w:ind w:left="360" w:hanging="360"/>
      </w:pPr>
      <w:r>
        <w:rPr>
          <w:rFonts w:ascii="Calibri" w:hAnsi="Calibri"/>
          <w:b/>
          <w:color w:val="525866"/>
          <w:sz w:val="22"/>
        </w:rPr>
        <w:t>26-27 million tons of global methanol capacity in the Middle East offline — driving rapid methanol price rises worldwide.</w:t>
      </w:r>
      <w:r>
        <w:rPr>
          <w:rFonts w:ascii="Calibri" w:hAnsi="Calibri"/>
          <w:color w:val="525866"/>
          <w:sz w:val="22"/>
        </w:rPr>
        <w:t xml:space="preserve"> CE is moving methanol from its U.S. plant to Europe to mitigate supply constraints. Directly corroborates LYB’s Q1 call commentary on methanol pricing doubling.</w:t>
      </w:r>
    </w:p>
    <w:p>
      <w:pPr>
        <w:pStyle w:val="ListBullet"/>
        <w:ind w:left="360" w:hanging="360"/>
      </w:pPr>
      <w:r>
        <w:rPr>
          <w:rFonts w:ascii="Calibri" w:hAnsi="Calibri"/>
          <w:b/>
          <w:color w:val="525866"/>
          <w:sz w:val="22"/>
        </w:rPr>
        <w:t>April was “likely the high watermark for pricing” in the Acetyl Chain; China prices began moderating from early April levels.</w:t>
      </w:r>
      <w:r>
        <w:rPr>
          <w:rFonts w:ascii="Calibri" w:hAnsi="Calibri"/>
          <w:color w:val="525866"/>
          <w:sz w:val="22"/>
        </w:rPr>
        <w:t xml:space="preserve"> CE’s guidance assumes supply chains begin to unwind by end of Q2 — consistent with DOW’s actual Q2 experience. CE’s H2 guidance assumes moderation in volumes and margins.</w:t>
      </w:r>
    </w:p>
    <w:p>
      <w:pPr>
        <w:pStyle w:val="ListBullet"/>
        <w:ind w:left="360" w:hanging="360"/>
      </w:pPr>
      <w:r>
        <w:rPr>
          <w:rFonts w:ascii="Calibri" w:hAnsi="Calibri"/>
          <w:b/>
          <w:color w:val="525866"/>
          <w:sz w:val="22"/>
        </w:rPr>
        <w:t>CE’s Acetyl Chain Q2 profitability lift is “weighted more heavily towards the Western Hemisphere,” leveraging the low-cost advantage of the Clear Lake asset base.</w:t>
      </w:r>
      <w:r>
        <w:rPr>
          <w:rFonts w:ascii="Calibri" w:hAnsi="Calibri"/>
          <w:color w:val="525866"/>
          <w:sz w:val="22"/>
        </w:rPr>
        <w:t xml:space="preserve"> Positive read-through for LYB’s U.S. Gulf Coast I&amp;D assets (La Porte, Channelview).</w:t>
      </w:r>
    </w:p>
    <w:p>
      <w:pPr>
        <w:pStyle w:val="ListBullet"/>
        <w:ind w:left="360" w:hanging="360"/>
      </w:pPr>
      <w:r>
        <w:rPr>
          <w:rFonts w:ascii="Calibri" w:hAnsi="Calibri"/>
          <w:b/>
          <w:color w:val="525866"/>
          <w:sz w:val="22"/>
        </w:rPr>
        <w:t>Overall demand “continues to be low at an end-use level”; concern about demand destruction from inflationary pressures later in the year.</w:t>
      </w:r>
      <w:r>
        <w:rPr>
          <w:rFonts w:ascii="Calibri" w:hAnsi="Calibri"/>
          <w:color w:val="525866"/>
          <w:sz w:val="22"/>
        </w:rPr>
        <w:t xml:space="preserve"> CE is not seeing significant market pull-through in specialties — a cautionary note for LYB’s APS segment.</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Q2 2026 Signal</w:t>
            </w:r>
          </w:p>
        </w:tc>
        <w:tc>
          <w:tcPr>
            <w:tcW w:type="dxa" w:w="1728"/>
            <w:shd w:val="clear" w:color="auto" w:fill="3B4259"/>
          </w:tcPr>
          <w:p>
            <w:r>
              <w:rPr>
                <w:rFonts w:ascii="Calibri" w:hAnsi="Calibri"/>
                <w:b/>
                <w:color w:val="FFFFFF"/>
                <w:sz w:val="22"/>
              </w:rPr>
              <w:t>Key LYB Read-Through</w:t>
            </w:r>
          </w:p>
        </w:tc>
        <w:tc>
          <w:tcPr>
            <w:tcW w:type="dxa" w:w="1728"/>
            <w:shd w:val="clear" w:color="auto" w:fill="3B4259"/>
          </w:tcPr>
          <w:p>
            <w:r>
              <w:rPr>
                <w:rFonts w:ascii="Calibri" w:hAnsi="Calibri"/>
                <w:b/>
                <w:color w:val="FFFFFF"/>
                <w:sz w:val="22"/>
              </w:rPr>
              <w:t>Bullish / Cautious</w:t>
            </w:r>
          </w:p>
        </w:tc>
      </w:tr>
      <w:tr>
        <w:tc>
          <w:tcPr>
            <w:tcW w:type="dxa" w:w="1728"/>
          </w:tcPr>
          <w:p>
            <w:r>
              <w:rPr>
                <w:rFonts w:ascii="Calibri" w:hAnsi="Calibri"/>
                <w:sz w:val="22"/>
              </w:rPr>
              <w:t>DOW</w:t>
            </w:r>
          </w:p>
        </w:tc>
        <w:tc>
          <w:tcPr>
            <w:tcW w:type="dxa" w:w="1728"/>
          </w:tcPr>
          <w:p>
            <w:r>
              <w:rPr>
                <w:rFonts w:ascii="Calibri" w:hAnsi="Calibri"/>
                <w:sz w:val="22"/>
              </w:rPr>
              <w:t>Jul 23, 2026 (Q2 actual)</w:t>
            </w:r>
          </w:p>
        </w:tc>
        <w:tc>
          <w:tcPr>
            <w:tcW w:type="dxa" w:w="1728"/>
          </w:tcPr>
          <w:p>
            <w:r>
              <w:rPr>
                <w:rFonts w:ascii="Calibri" w:hAnsi="Calibri"/>
                <w:sz w:val="22"/>
              </w:rPr>
              <w:t>Q2 EBITDA $2.3B; PE prices +40% YoY; Q3 guided -26% sequential on June $0.15/lb settlement</w:t>
            </w:r>
          </w:p>
        </w:tc>
        <w:tc>
          <w:tcPr>
            <w:tcW w:type="dxa" w:w="1728"/>
          </w:tcPr>
          <w:p>
            <w:r>
              <w:rPr>
                <w:rFonts w:ascii="Calibri" w:hAnsi="Calibri"/>
                <w:sz w:val="22"/>
              </w:rPr>
              <w:t>Q2 was peak; June settlement is key variable for LYB Q2 margin realization; Q3 will decelerate</w:t>
            </w:r>
          </w:p>
        </w:tc>
        <w:tc>
          <w:tcPr>
            <w:tcW w:type="dxa" w:w="1728"/>
          </w:tcPr>
          <w:p>
            <w:r>
              <w:rPr>
                <w:rFonts w:ascii="Calibri" w:hAnsi="Calibri"/>
                <w:b/>
                <w:color w:val="002FA7"/>
                <w:sz w:val="22"/>
              </w:rPr>
              <w:t>Mixed (Q2 strong, Q3 cautious)</w:t>
            </w:r>
          </w:p>
        </w:tc>
      </w:tr>
      <w:tr>
        <w:tc>
          <w:tcPr>
            <w:tcW w:type="dxa" w:w="1728"/>
          </w:tcPr>
          <w:p>
            <w:r>
              <w:rPr>
                <w:rFonts w:ascii="Calibri" w:hAnsi="Calibri"/>
                <w:sz w:val="22"/>
              </w:rPr>
              <w:t>WLK</w:t>
            </w:r>
          </w:p>
        </w:tc>
        <w:tc>
          <w:tcPr>
            <w:tcW w:type="dxa" w:w="1728"/>
          </w:tcPr>
          <w:p>
            <w:r>
              <w:rPr>
                <w:rFonts w:ascii="Calibri" w:hAnsi="Calibri"/>
                <w:sz w:val="22"/>
              </w:rPr>
              <w:t>May 5, 2026 (Q1 call)</w:t>
            </w:r>
          </w:p>
        </w:tc>
        <w:tc>
          <w:tcPr>
            <w:tcW w:type="dxa" w:w="1728"/>
          </w:tcPr>
          <w:p>
            <w:r>
              <w:rPr>
                <w:rFonts w:ascii="Calibri" w:hAnsi="Calibri"/>
                <w:sz w:val="22"/>
              </w:rPr>
              <w:t>PE at full rates; $0.30 April increase achieved; $0.20 May announced; 2026 outlook improved meaningfully</w:t>
            </w:r>
          </w:p>
        </w:tc>
        <w:tc>
          <w:tcPr>
            <w:tcW w:type="dxa" w:w="1728"/>
          </w:tcPr>
          <w:p>
            <w:r>
              <w:rPr>
                <w:rFonts w:ascii="Calibri" w:hAnsi="Calibri"/>
                <w:sz w:val="22"/>
              </w:rPr>
              <w:t>Strong O&amp;P Americas setup; natural gas tailwind in Q2; supply disruptions to persist through 2026</w:t>
            </w:r>
          </w:p>
        </w:tc>
        <w:tc>
          <w:tcPr>
            <w:tcW w:type="dxa" w:w="1728"/>
          </w:tcPr>
          <w:p>
            <w:r>
              <w:rPr>
                <w:rFonts w:ascii="Calibri" w:hAnsi="Calibri"/>
                <w:b/>
                <w:color w:val="30A46C"/>
                <w:sz w:val="22"/>
              </w:rPr>
              <w:t>Bullish</w:t>
            </w:r>
          </w:p>
        </w:tc>
      </w:tr>
      <w:tr>
        <w:tc>
          <w:tcPr>
            <w:tcW w:type="dxa" w:w="1728"/>
          </w:tcPr>
          <w:p>
            <w:r>
              <w:rPr>
                <w:rFonts w:ascii="Calibri" w:hAnsi="Calibri"/>
                <w:sz w:val="22"/>
              </w:rPr>
              <w:t>HUN</w:t>
            </w:r>
          </w:p>
        </w:tc>
        <w:tc>
          <w:tcPr>
            <w:tcW w:type="dxa" w:w="1728"/>
          </w:tcPr>
          <w:p>
            <w:r>
              <w:rPr>
                <w:rFonts w:ascii="Calibri" w:hAnsi="Calibri"/>
                <w:sz w:val="22"/>
              </w:rPr>
              <w:t>May 1, 2026 (Q1 call)</w:t>
            </w:r>
          </w:p>
        </w:tc>
        <w:tc>
          <w:tcPr>
            <w:tcW w:type="dxa" w:w="1728"/>
          </w:tcPr>
          <w:p>
            <w:r>
              <w:rPr>
                <w:rFonts w:ascii="Calibri" w:hAnsi="Calibri"/>
                <w:sz w:val="22"/>
              </w:rPr>
              <w:t>Q2 demand stronger than expected; MDI sold out; pre-buying activity; June a “wildcard”</w:t>
            </w:r>
          </w:p>
        </w:tc>
        <w:tc>
          <w:tcPr>
            <w:tcW w:type="dxa" w:w="1728"/>
          </w:tcPr>
          <w:p>
            <w:r>
              <w:rPr>
                <w:rFonts w:ascii="Calibri" w:hAnsi="Calibri"/>
                <w:sz w:val="22"/>
              </w:rPr>
              <w:t>I&amp;D/APS demand solid; Saudi JV logistics headwind; demand destruction risk in H2</w:t>
            </w:r>
          </w:p>
        </w:tc>
        <w:tc>
          <w:tcPr>
            <w:tcW w:type="dxa" w:w="1728"/>
          </w:tcPr>
          <w:p>
            <w:r>
              <w:rPr>
                <w:rFonts w:ascii="Calibri" w:hAnsi="Calibri"/>
                <w:b/>
                <w:color w:val="002FA7"/>
                <w:sz w:val="22"/>
              </w:rPr>
              <w:t>Cautiously bullish</w:t>
            </w:r>
          </w:p>
        </w:tc>
      </w:tr>
      <w:tr>
        <w:tc>
          <w:tcPr>
            <w:tcW w:type="dxa" w:w="1728"/>
          </w:tcPr>
          <w:p>
            <w:r>
              <w:rPr>
                <w:rFonts w:ascii="Calibri" w:hAnsi="Calibri"/>
                <w:sz w:val="22"/>
              </w:rPr>
              <w:t>EMN</w:t>
            </w:r>
          </w:p>
        </w:tc>
        <w:tc>
          <w:tcPr>
            <w:tcW w:type="dxa" w:w="1728"/>
          </w:tcPr>
          <w:p>
            <w:r>
              <w:rPr>
                <w:rFonts w:ascii="Calibri" w:hAnsi="Calibri"/>
                <w:sz w:val="22"/>
              </w:rPr>
              <w:t>May 1, 2026 (Q1 call)</w:t>
            </w:r>
          </w:p>
        </w:tc>
        <w:tc>
          <w:tcPr>
            <w:tcW w:type="dxa" w:w="1728"/>
          </w:tcPr>
          <w:p>
            <w:r>
              <w:rPr>
                <w:rFonts w:ascii="Calibri" w:hAnsi="Calibri"/>
                <w:sz w:val="22"/>
              </w:rPr>
              <w:t>CI prices +20% sequential; methanol doubled; quantity shortage not yet fully felt; June wildcard</w:t>
            </w:r>
          </w:p>
        </w:tc>
        <w:tc>
          <w:tcPr>
            <w:tcW w:type="dxa" w:w="1728"/>
          </w:tcPr>
          <w:p>
            <w:r>
              <w:rPr>
                <w:rFonts w:ascii="Calibri" w:hAnsi="Calibri"/>
                <w:sz w:val="22"/>
              </w:rPr>
              <w:t>I&amp;D acetyls/oxyfuels pricing strong; auto/durables still weak (APS headwind)</w:t>
            </w:r>
          </w:p>
        </w:tc>
        <w:tc>
          <w:tcPr>
            <w:tcW w:type="dxa" w:w="1728"/>
          </w:tcPr>
          <w:p>
            <w:r>
              <w:rPr>
                <w:rFonts w:ascii="Calibri" w:hAnsi="Calibri"/>
                <w:b/>
                <w:color w:val="002FA7"/>
                <w:sz w:val="22"/>
              </w:rPr>
              <w:t>Bullish on I&amp;D; cautious on APS</w:t>
            </w:r>
          </w:p>
        </w:tc>
      </w:tr>
      <w:tr>
        <w:tc>
          <w:tcPr>
            <w:tcW w:type="dxa" w:w="1728"/>
          </w:tcPr>
          <w:p>
            <w:r>
              <w:rPr>
                <w:rFonts w:ascii="Calibri" w:hAnsi="Calibri"/>
                <w:sz w:val="22"/>
              </w:rPr>
              <w:t>OLN</w:t>
            </w:r>
          </w:p>
        </w:tc>
        <w:tc>
          <w:tcPr>
            <w:tcW w:type="dxa" w:w="1728"/>
          </w:tcPr>
          <w:p>
            <w:r>
              <w:rPr>
                <w:rFonts w:ascii="Calibri" w:hAnsi="Calibri"/>
                <w:sz w:val="22"/>
              </w:rPr>
              <w:t>May 8, 2026 (Q1 call)</w:t>
            </w:r>
          </w:p>
        </w:tc>
        <w:tc>
          <w:tcPr>
            <w:tcW w:type="dxa" w:w="1728"/>
          </w:tcPr>
          <w:p>
            <w:r>
              <w:rPr>
                <w:rFonts w:ascii="Calibri" w:hAnsi="Calibri"/>
                <w:sz w:val="22"/>
              </w:rPr>
              <w:t>Q2 EBITDA guided $160-200M; caustic +$185/ton; 6-9% global vinyls capacity offline</w:t>
            </w:r>
          </w:p>
        </w:tc>
        <w:tc>
          <w:tcPr>
            <w:tcW w:type="dxa" w:w="1728"/>
          </w:tcPr>
          <w:p>
            <w:r>
              <w:rPr>
                <w:rFonts w:ascii="Calibri" w:hAnsi="Calibri"/>
                <w:sz w:val="22"/>
              </w:rPr>
              <w:t>I&amp;D chemicals pricing momentum; U.S. cost advantage durable even with ceasefire talk</w:t>
            </w:r>
          </w:p>
        </w:tc>
        <w:tc>
          <w:tcPr>
            <w:tcW w:type="dxa" w:w="1728"/>
          </w:tcPr>
          <w:p>
            <w:r>
              <w:rPr>
                <w:rFonts w:ascii="Calibri" w:hAnsi="Calibri"/>
                <w:b/>
                <w:color w:val="30A46C"/>
                <w:sz w:val="22"/>
              </w:rPr>
              <w:t>Bullish</w:t>
            </w:r>
          </w:p>
        </w:tc>
      </w:tr>
      <w:tr>
        <w:tc>
          <w:tcPr>
            <w:tcW w:type="dxa" w:w="1728"/>
          </w:tcPr>
          <w:p>
            <w:r>
              <w:rPr>
                <w:rFonts w:ascii="Calibri" w:hAnsi="Calibri"/>
                <w:sz w:val="22"/>
              </w:rPr>
              <w:t>CE</w:t>
            </w:r>
          </w:p>
        </w:tc>
        <w:tc>
          <w:tcPr>
            <w:tcW w:type="dxa" w:w="1728"/>
          </w:tcPr>
          <w:p>
            <w:r>
              <w:rPr>
                <w:rFonts w:ascii="Calibri" w:hAnsi="Calibri"/>
                <w:sz w:val="22"/>
              </w:rPr>
              <w:t>May 6, 2026 (Q1 call)</w:t>
            </w:r>
          </w:p>
        </w:tc>
        <w:tc>
          <w:tcPr>
            <w:tcW w:type="dxa" w:w="1728"/>
          </w:tcPr>
          <w:p>
            <w:r>
              <w:rPr>
                <w:rFonts w:ascii="Calibri" w:hAnsi="Calibri"/>
                <w:sz w:val="22"/>
              </w:rPr>
              <w:t>April was pricing high watermark; China prices moderating; H2 assumes supply chain unwind</w:t>
            </w:r>
          </w:p>
        </w:tc>
        <w:tc>
          <w:tcPr>
            <w:tcW w:type="dxa" w:w="1728"/>
          </w:tcPr>
          <w:p>
            <w:r>
              <w:rPr>
                <w:rFonts w:ascii="Calibri" w:hAnsi="Calibri"/>
                <w:sz w:val="22"/>
              </w:rPr>
              <w:t>I&amp;D acetyls Q2 strong but peak; H2 moderation risk; end-use demand still low</w:t>
            </w:r>
          </w:p>
        </w:tc>
        <w:tc>
          <w:tcPr>
            <w:tcW w:type="dxa" w:w="1728"/>
          </w:tcPr>
          <w:p>
            <w:r>
              <w:rPr>
                <w:rFonts w:ascii="Calibri" w:hAnsi="Calibri"/>
                <w:b/>
                <w:color w:val="E5484D"/>
                <w:sz w:val="22"/>
              </w:rPr>
              <w:t>Cautious on H2</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notable open-market transaction is a </w:t>
      </w:r>
      <w:r>
        <w:rPr>
          <w:rFonts w:ascii="Calibri" w:hAnsi="Calibri"/>
          <w:b/>
          <w:color w:val="525866"/>
          <w:sz w:val="22"/>
        </w:rPr>
        <w:t>discretionary sale of 10,000 shares by EVP Jeffrey Kaplan on May 13</w:t>
      </w:r>
      <w:r>
        <w:rPr>
          <w:rFonts w:ascii="Calibri" w:hAnsi="Calibri"/>
          <w:color w:val="525866"/>
          <w:sz w:val="22"/>
        </w:rPr>
        <w:t xml:space="preserve"> — executed near the post-earnings peak (~$73-75) and before the stock’s subsequent -19% decline — which is worth flagging; all other activity is routine director equity compensation grants with no directional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Kaplan, Jeffrey A.</w:t>
            </w:r>
          </w:p>
        </w:tc>
        <w:tc>
          <w:tcPr>
            <w:tcW w:type="dxa" w:w="1440"/>
          </w:tcPr>
          <w:p>
            <w:r>
              <w:rPr>
                <w:rFonts w:ascii="Calibri" w:hAnsi="Calibri"/>
                <w:sz w:val="22"/>
              </w:rPr>
              <w:t>EVP, Chief PC, Legal &amp; Corporate Officer</w:t>
            </w:r>
          </w:p>
        </w:tc>
        <w:tc>
          <w:tcPr>
            <w:tcW w:type="dxa" w:w="1440"/>
          </w:tcPr>
          <w:p>
            <w:r>
              <w:rPr>
                <w:rFonts w:ascii="Calibri" w:hAnsi="Calibri"/>
                <w:b/>
                <w:color w:val="E5484D"/>
                <w:sz w:val="22"/>
              </w:rPr>
              <w:t>Open Market Sale</w:t>
            </w:r>
          </w:p>
        </w:tc>
        <w:tc>
          <w:tcPr>
            <w:tcW w:type="dxa" w:w="1440"/>
          </w:tcPr>
          <w:p>
            <w:r>
              <w:rPr>
                <w:rFonts w:ascii="Calibri" w:hAnsi="Calibri"/>
                <w:sz w:val="22"/>
              </w:rPr>
              <w:t>10,000 shares</w:t>
            </w:r>
          </w:p>
        </w:tc>
        <w:tc>
          <w:tcPr>
            <w:tcW w:type="dxa" w:w="1440"/>
          </w:tcPr>
          <w:p>
            <w:r>
              <w:rPr>
                <w:rFonts w:ascii="Calibri" w:hAnsi="Calibri"/>
                <w:sz w:val="22"/>
              </w:rPr>
              <w:t>May 13, 2026</w:t>
            </w:r>
          </w:p>
        </w:tc>
        <w:tc>
          <w:tcPr>
            <w:tcW w:type="dxa" w:w="1440"/>
          </w:tcPr>
          <w:p>
            <w:r>
              <w:rPr>
                <w:rFonts w:ascii="Calibri" w:hAnsi="Calibri"/>
                <w:sz w:val="22"/>
              </w:rPr>
              <w:t>Discretionary open-market sale; executed ~12 days post-Q1 earnings near the post-conflict peak; no 10b5-1 plan indicated in filing</w:t>
            </w:r>
          </w:p>
        </w:tc>
      </w:tr>
      <w:tr>
        <w:tc>
          <w:tcPr>
            <w:tcW w:type="dxa" w:w="1440"/>
          </w:tcPr>
          <w:p>
            <w:r>
              <w:rPr>
                <w:rFonts w:ascii="Calibri" w:hAnsi="Calibri"/>
                <w:sz w:val="22"/>
              </w:rPr>
              <w:t>AIGRAIN, Jacques</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4,437 shares</w:t>
            </w:r>
          </w:p>
        </w:tc>
        <w:tc>
          <w:tcPr>
            <w:tcW w:type="dxa" w:w="1440"/>
          </w:tcPr>
          <w:p>
            <w:r>
              <w:rPr>
                <w:rFonts w:ascii="Calibri" w:hAnsi="Calibri"/>
                <w:sz w:val="22"/>
              </w:rPr>
              <w:t>May 21, 2026</w:t>
            </w:r>
          </w:p>
        </w:tc>
        <w:tc>
          <w:tcPr>
            <w:tcW w:type="dxa" w:w="1440"/>
          </w:tcPr>
          <w:p>
            <w:r>
              <w:rPr>
                <w:rFonts w:ascii="Calibri" w:hAnsi="Calibri"/>
                <w:sz w:val="22"/>
              </w:rPr>
              <w:t>Annual director equity compensation; routine; no directional signal</w:t>
            </w:r>
          </w:p>
        </w:tc>
      </w:tr>
      <w:tr>
        <w:tc>
          <w:tcPr>
            <w:tcW w:type="dxa" w:w="1440"/>
          </w:tcPr>
          <w:p>
            <w:r>
              <w:rPr>
                <w:rFonts w:ascii="Calibri" w:hAnsi="Calibri"/>
                <w:sz w:val="22"/>
              </w:rPr>
              <w:t>Benet, Lincoln E.</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2,321 shares</w:t>
            </w:r>
          </w:p>
        </w:tc>
        <w:tc>
          <w:tcPr>
            <w:tcW w:type="dxa" w:w="1440"/>
          </w:tcPr>
          <w:p>
            <w:r>
              <w:rPr>
                <w:rFonts w:ascii="Calibri" w:hAnsi="Calibri"/>
                <w:sz w:val="22"/>
              </w:rPr>
              <w:t>May 21, 2026</w:t>
            </w:r>
          </w:p>
        </w:tc>
        <w:tc>
          <w:tcPr>
            <w:tcW w:type="dxa" w:w="1440"/>
          </w:tcPr>
          <w:p>
            <w:r>
              <w:rPr>
                <w:rFonts w:ascii="Calibri" w:hAnsi="Calibri"/>
                <w:sz w:val="22"/>
              </w:rPr>
              <w:t>Annual director equity compensation; routine</w:t>
            </w:r>
          </w:p>
        </w:tc>
      </w:tr>
      <w:tr>
        <w:tc>
          <w:tcPr>
            <w:tcW w:type="dxa" w:w="1440"/>
          </w:tcPr>
          <w:p>
            <w:r>
              <w:rPr>
                <w:rFonts w:ascii="Calibri" w:hAnsi="Calibri"/>
                <w:sz w:val="22"/>
              </w:rPr>
              <w:t>Buchanan, Robin W.T.</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2,321 shares</w:t>
            </w:r>
          </w:p>
        </w:tc>
        <w:tc>
          <w:tcPr>
            <w:tcW w:type="dxa" w:w="1440"/>
          </w:tcPr>
          <w:p>
            <w:r>
              <w:rPr>
                <w:rFonts w:ascii="Calibri" w:hAnsi="Calibri"/>
                <w:sz w:val="22"/>
              </w:rPr>
              <w:t>May 21, 2026</w:t>
            </w:r>
          </w:p>
        </w:tc>
        <w:tc>
          <w:tcPr>
            <w:tcW w:type="dxa" w:w="1440"/>
          </w:tcPr>
          <w:p>
            <w:r>
              <w:rPr>
                <w:rFonts w:ascii="Calibri" w:hAnsi="Calibri"/>
                <w:sz w:val="22"/>
              </w:rPr>
              <w:t>Annual director equity compensation; routine</w:t>
            </w:r>
          </w:p>
        </w:tc>
      </w:tr>
      <w:tr>
        <w:tc>
          <w:tcPr>
            <w:tcW w:type="dxa" w:w="1440"/>
          </w:tcPr>
          <w:p>
            <w:r>
              <w:rPr>
                <w:rFonts w:ascii="Calibri" w:hAnsi="Calibri"/>
                <w:sz w:val="22"/>
              </w:rPr>
              <w:t>Chase, Anthony R.</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2,321 shares</w:t>
            </w:r>
          </w:p>
        </w:tc>
        <w:tc>
          <w:tcPr>
            <w:tcW w:type="dxa" w:w="1440"/>
          </w:tcPr>
          <w:p>
            <w:r>
              <w:rPr>
                <w:rFonts w:ascii="Calibri" w:hAnsi="Calibri"/>
                <w:sz w:val="22"/>
              </w:rPr>
              <w:t>May 21, 2026</w:t>
            </w:r>
          </w:p>
        </w:tc>
        <w:tc>
          <w:tcPr>
            <w:tcW w:type="dxa" w:w="1440"/>
          </w:tcPr>
          <w:p>
            <w:r>
              <w:rPr>
                <w:rFonts w:ascii="Calibri" w:hAnsi="Calibri"/>
                <w:sz w:val="22"/>
              </w:rPr>
              <w:t>Annual director equity compensation; routine</w:t>
            </w:r>
          </w:p>
        </w:tc>
      </w:tr>
      <w:tr>
        <w:tc>
          <w:tcPr>
            <w:tcW w:type="dxa" w:w="1440"/>
          </w:tcPr>
          <w:p>
            <w:r>
              <w:rPr>
                <w:rFonts w:ascii="Calibri" w:hAnsi="Calibri"/>
                <w:sz w:val="22"/>
              </w:rPr>
              <w:t>Dudley, Robert W.</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2,321 shares</w:t>
            </w:r>
          </w:p>
        </w:tc>
        <w:tc>
          <w:tcPr>
            <w:tcW w:type="dxa" w:w="1440"/>
          </w:tcPr>
          <w:p>
            <w:r>
              <w:rPr>
                <w:rFonts w:ascii="Calibri" w:hAnsi="Calibri"/>
                <w:sz w:val="22"/>
              </w:rPr>
              <w:t>May 21, 2026</w:t>
            </w:r>
          </w:p>
        </w:tc>
        <w:tc>
          <w:tcPr>
            <w:tcW w:type="dxa" w:w="1440"/>
          </w:tcPr>
          <w:p>
            <w:r>
              <w:rPr>
                <w:rFonts w:ascii="Calibri" w:hAnsi="Calibri"/>
                <w:sz w:val="22"/>
              </w:rPr>
              <w:t>Annual director equity compensation; routine</w:t>
            </w:r>
          </w:p>
        </w:tc>
      </w:tr>
      <w:tr>
        <w:tc>
          <w:tcPr>
            <w:tcW w:type="dxa" w:w="1440"/>
          </w:tcPr>
          <w:p>
            <w:r>
              <w:rPr>
                <w:rFonts w:ascii="Calibri" w:hAnsi="Calibri"/>
                <w:sz w:val="22"/>
              </w:rPr>
              <w:t>Farley, Claire S.</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2,321 shares</w:t>
            </w:r>
          </w:p>
        </w:tc>
        <w:tc>
          <w:tcPr>
            <w:tcW w:type="dxa" w:w="1440"/>
          </w:tcPr>
          <w:p>
            <w:r>
              <w:rPr>
                <w:rFonts w:ascii="Calibri" w:hAnsi="Calibri"/>
                <w:sz w:val="22"/>
              </w:rPr>
              <w:t>May 21, 2026</w:t>
            </w:r>
          </w:p>
        </w:tc>
        <w:tc>
          <w:tcPr>
            <w:tcW w:type="dxa" w:w="1440"/>
          </w:tcPr>
          <w:p>
            <w:r>
              <w:rPr>
                <w:rFonts w:ascii="Calibri" w:hAnsi="Calibri"/>
                <w:sz w:val="22"/>
              </w:rPr>
              <w:t>Annual director equity compensation; routine</w:t>
            </w:r>
          </w:p>
        </w:tc>
      </w:tr>
      <w:tr>
        <w:tc>
          <w:tcPr>
            <w:tcW w:type="dxa" w:w="1440"/>
          </w:tcPr>
          <w:p>
            <w:r>
              <w:rPr>
                <w:rFonts w:ascii="Calibri" w:hAnsi="Calibri"/>
                <w:sz w:val="22"/>
              </w:rPr>
              <w:t>Griffin, Rita E.</w:t>
            </w:r>
          </w:p>
        </w:tc>
        <w:tc>
          <w:tcPr>
            <w:tcW w:type="dxa" w:w="1440"/>
          </w:tcPr>
          <w:p>
            <w:r>
              <w:rPr>
                <w:rFonts w:ascii="Calibri" w:hAnsi="Calibri"/>
                <w:sz w:val="22"/>
              </w:rPr>
              <w:t>Director</w:t>
            </w:r>
          </w:p>
        </w:tc>
        <w:tc>
          <w:tcPr>
            <w:tcW w:type="dxa" w:w="1440"/>
          </w:tcPr>
          <w:p>
            <w:r>
              <w:rPr>
                <w:rFonts w:ascii="Calibri" w:hAnsi="Calibri"/>
                <w:sz w:val="22"/>
              </w:rPr>
              <w:t>Equity Grant (Award) + Tax Withholding</w:t>
            </w:r>
          </w:p>
        </w:tc>
        <w:tc>
          <w:tcPr>
            <w:tcW w:type="dxa" w:w="1440"/>
          </w:tcPr>
          <w:p>
            <w:r>
              <w:rPr>
                <w:rFonts w:ascii="Calibri" w:hAnsi="Calibri"/>
                <w:sz w:val="22"/>
              </w:rPr>
              <w:t>2,321 granted / 639 withheld</w:t>
            </w:r>
          </w:p>
        </w:tc>
        <w:tc>
          <w:tcPr>
            <w:tcW w:type="dxa" w:w="1440"/>
          </w:tcPr>
          <w:p>
            <w:r>
              <w:rPr>
                <w:rFonts w:ascii="Calibri" w:hAnsi="Calibri"/>
                <w:sz w:val="22"/>
              </w:rPr>
              <w:t>May 21-22, 2026</w:t>
            </w:r>
          </w:p>
        </w:tc>
        <w:tc>
          <w:tcPr>
            <w:tcW w:type="dxa" w:w="1440"/>
          </w:tcPr>
          <w:p>
            <w:r>
              <w:rPr>
                <w:rFonts w:ascii="Calibri" w:hAnsi="Calibri"/>
                <w:sz w:val="22"/>
              </w:rPr>
              <w:t>Annual grant; 639 shares withheld for tax obligation — not a discretionary sale</w:t>
            </w:r>
          </w:p>
        </w:tc>
      </w:tr>
      <w:tr>
        <w:tc>
          <w:tcPr>
            <w:tcW w:type="dxa" w:w="1440"/>
          </w:tcPr>
          <w:p>
            <w:r>
              <w:rPr>
                <w:rFonts w:ascii="Calibri" w:hAnsi="Calibri"/>
                <w:sz w:val="22"/>
              </w:rPr>
              <w:t>Hanley, Michael Sean</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2,321 shares</w:t>
            </w:r>
          </w:p>
        </w:tc>
        <w:tc>
          <w:tcPr>
            <w:tcW w:type="dxa" w:w="1440"/>
          </w:tcPr>
          <w:p>
            <w:r>
              <w:rPr>
                <w:rFonts w:ascii="Calibri" w:hAnsi="Calibri"/>
                <w:sz w:val="22"/>
              </w:rPr>
              <w:t>May 21, 2026</w:t>
            </w:r>
          </w:p>
        </w:tc>
        <w:tc>
          <w:tcPr>
            <w:tcW w:type="dxa" w:w="1440"/>
          </w:tcPr>
          <w:p>
            <w:r>
              <w:rPr>
                <w:rFonts w:ascii="Calibri" w:hAnsi="Calibri"/>
                <w:sz w:val="22"/>
              </w:rPr>
              <w:t>Annual director equity compensation; routine</w:t>
            </w:r>
          </w:p>
        </w:tc>
      </w:tr>
      <w:tr>
        <w:tc>
          <w:tcPr>
            <w:tcW w:type="dxa" w:w="1440"/>
          </w:tcPr>
          <w:p>
            <w:r>
              <w:rPr>
                <w:rFonts w:ascii="Calibri" w:hAnsi="Calibri"/>
                <w:sz w:val="22"/>
              </w:rPr>
              <w:t>Kamsky, Virginia A.</w:t>
            </w:r>
          </w:p>
        </w:tc>
        <w:tc>
          <w:tcPr>
            <w:tcW w:type="dxa" w:w="1440"/>
          </w:tcPr>
          <w:p>
            <w:r>
              <w:rPr>
                <w:rFonts w:ascii="Calibri" w:hAnsi="Calibri"/>
                <w:sz w:val="22"/>
              </w:rPr>
              <w:t>Director</w:t>
            </w:r>
          </w:p>
        </w:tc>
        <w:tc>
          <w:tcPr>
            <w:tcW w:type="dxa" w:w="1440"/>
          </w:tcPr>
          <w:p>
            <w:r>
              <w:rPr>
                <w:rFonts w:ascii="Calibri" w:hAnsi="Calibri"/>
                <w:sz w:val="22"/>
              </w:rPr>
              <w:t>Equity Grant (Award) + Tax Withholding</w:t>
            </w:r>
          </w:p>
        </w:tc>
        <w:tc>
          <w:tcPr>
            <w:tcW w:type="dxa" w:w="1440"/>
          </w:tcPr>
          <w:p>
            <w:r>
              <w:rPr>
                <w:rFonts w:ascii="Calibri" w:hAnsi="Calibri"/>
                <w:sz w:val="22"/>
              </w:rPr>
              <w:t>2,321 granted / 100 withheld (May); 561 granted / 100 withheld (Jun)</w:t>
            </w:r>
          </w:p>
        </w:tc>
        <w:tc>
          <w:tcPr>
            <w:tcW w:type="dxa" w:w="1440"/>
          </w:tcPr>
          <w:p>
            <w:r>
              <w:rPr>
                <w:rFonts w:ascii="Calibri" w:hAnsi="Calibri"/>
                <w:sz w:val="22"/>
              </w:rPr>
              <w:t>May 21 &amp; Jun 30, 2026</w:t>
            </w:r>
          </w:p>
        </w:tc>
        <w:tc>
          <w:tcPr>
            <w:tcW w:type="dxa" w:w="1440"/>
          </w:tcPr>
          <w:p>
            <w:r>
              <w:rPr>
                <w:rFonts w:ascii="Calibri" w:hAnsi="Calibri"/>
                <w:sz w:val="22"/>
              </w:rPr>
              <w:t>Routine annual grant plus supplemental grant; tax withholding disposals are obligation-driven</w:t>
            </w:r>
          </w:p>
        </w:tc>
      </w:tr>
      <w:tr>
        <w:tc>
          <w:tcPr>
            <w:tcW w:type="dxa" w:w="1440"/>
          </w:tcPr>
          <w:p>
            <w:r>
              <w:rPr>
                <w:rFonts w:ascii="Calibri" w:hAnsi="Calibri"/>
                <w:sz w:val="22"/>
              </w:rPr>
              <w:t>Karlin, Bridget E.</w:t>
            </w:r>
          </w:p>
        </w:tc>
        <w:tc>
          <w:tcPr>
            <w:tcW w:type="dxa" w:w="1440"/>
          </w:tcPr>
          <w:p>
            <w:r>
              <w:rPr>
                <w:rFonts w:ascii="Calibri" w:hAnsi="Calibri"/>
                <w:sz w:val="22"/>
              </w:rPr>
              <w:t>Director</w:t>
            </w:r>
          </w:p>
        </w:tc>
        <w:tc>
          <w:tcPr>
            <w:tcW w:type="dxa" w:w="1440"/>
          </w:tcPr>
          <w:p>
            <w:r>
              <w:rPr>
                <w:rFonts w:ascii="Calibri" w:hAnsi="Calibri"/>
                <w:sz w:val="22"/>
              </w:rPr>
              <w:t>Equity Grant (Award) + Tax Withholding</w:t>
            </w:r>
          </w:p>
        </w:tc>
        <w:tc>
          <w:tcPr>
            <w:tcW w:type="dxa" w:w="1440"/>
          </w:tcPr>
          <w:p>
            <w:r>
              <w:rPr>
                <w:rFonts w:ascii="Calibri" w:hAnsi="Calibri"/>
                <w:sz w:val="22"/>
              </w:rPr>
              <w:t>2,321 granted / 73 withheld (May); 615 granted / 73 withheld (Jun)</w:t>
            </w:r>
          </w:p>
        </w:tc>
        <w:tc>
          <w:tcPr>
            <w:tcW w:type="dxa" w:w="1440"/>
          </w:tcPr>
          <w:p>
            <w:r>
              <w:rPr>
                <w:rFonts w:ascii="Calibri" w:hAnsi="Calibri"/>
                <w:sz w:val="22"/>
              </w:rPr>
              <w:t>May 21 &amp; Jun 30, 2026</w:t>
            </w:r>
          </w:p>
        </w:tc>
        <w:tc>
          <w:tcPr>
            <w:tcW w:type="dxa" w:w="1440"/>
          </w:tcPr>
          <w:p>
            <w:r>
              <w:rPr>
                <w:rFonts w:ascii="Calibri" w:hAnsi="Calibri"/>
                <w:sz w:val="22"/>
              </w:rPr>
              <w:t>Routine annual grant plus supplemental grant; tax withholding disposals are obligation-driven</w:t>
            </w:r>
          </w:p>
        </w:tc>
      </w:tr>
      <w:tr>
        <w:tc>
          <w:tcPr>
            <w:tcW w:type="dxa" w:w="1440"/>
          </w:tcPr>
          <w:p>
            <w:r>
              <w:rPr>
                <w:rFonts w:ascii="Calibri" w:hAnsi="Calibri"/>
                <w:sz w:val="22"/>
              </w:rPr>
              <w:t>Manifold, Albert Jude</w:t>
            </w:r>
          </w:p>
        </w:tc>
        <w:tc>
          <w:tcPr>
            <w:tcW w:type="dxa" w:w="1440"/>
          </w:tcPr>
          <w:p>
            <w:r>
              <w:rPr>
                <w:rFonts w:ascii="Calibri" w:hAnsi="Calibri"/>
                <w:sz w:val="22"/>
              </w:rPr>
              <w:t>Director</w:t>
            </w:r>
          </w:p>
        </w:tc>
        <w:tc>
          <w:tcPr>
            <w:tcW w:type="dxa" w:w="1440"/>
          </w:tcPr>
          <w:p>
            <w:r>
              <w:rPr>
                <w:rFonts w:ascii="Calibri" w:hAnsi="Calibri"/>
                <w:sz w:val="22"/>
              </w:rPr>
              <w:t>Equity Grant (Award)</w:t>
            </w:r>
          </w:p>
        </w:tc>
        <w:tc>
          <w:tcPr>
            <w:tcW w:type="dxa" w:w="1440"/>
          </w:tcPr>
          <w:p>
            <w:r>
              <w:rPr>
                <w:rFonts w:ascii="Calibri" w:hAnsi="Calibri"/>
                <w:sz w:val="22"/>
              </w:rPr>
              <w:t>2,321 shares</w:t>
            </w:r>
          </w:p>
        </w:tc>
        <w:tc>
          <w:tcPr>
            <w:tcW w:type="dxa" w:w="1440"/>
          </w:tcPr>
          <w:p>
            <w:r>
              <w:rPr>
                <w:rFonts w:ascii="Calibri" w:hAnsi="Calibri"/>
                <w:sz w:val="22"/>
              </w:rPr>
              <w:t>May 21, 2026</w:t>
            </w:r>
          </w:p>
        </w:tc>
        <w:tc>
          <w:tcPr>
            <w:tcW w:type="dxa" w:w="1440"/>
          </w:tcPr>
          <w:p>
            <w:r>
              <w:rPr>
                <w:rFonts w:ascii="Calibri" w:hAnsi="Calibri"/>
                <w:sz w:val="22"/>
              </w:rPr>
              <w:t>Annual director equity compensation; routine</w:t>
            </w:r>
          </w:p>
        </w:tc>
      </w:tr>
    </w:tbl>
    <w:p>
      <w:r>
        <w:rPr>
          <w:rFonts w:ascii="Calibri" w:hAnsi="Calibri"/>
          <w:b/>
          <w:color w:val="525866"/>
          <w:sz w:val="22"/>
        </w:rPr>
        <w:t xml:space="preserve">Assessment: </w:t>
      </w:r>
      <w:r>
        <w:rPr>
          <w:rFonts w:ascii="Calibri" w:hAnsi="Calibri"/>
          <w:color w:val="525866"/>
          <w:sz w:val="22"/>
        </w:rPr>
        <w:t>The only transaction warranting attention is EVP Kaplan’s 10,000-share open-market sale on May 13 — a discretionary sale executed near the post-Q1 earnings peak, with no 10b5-1 plan indicated. While a single executive sale is not conclusive, the timing (12 days post-earnings, near the $73-75 range that proved to be the cycle high) is notable in retrospect. No open-market buys were recorded in the period, and no clustered executive selling pattern is present. All other activity is routine annual director equity compensation.</w:t>
      </w:r>
    </w:p>
    <w:p>
      <w:r>
        <w:rPr>
          <w:rFonts w:ascii="Calibri" w:hAnsi="Calibri"/>
          <w:i/>
          <w:color w:val="525866"/>
          <w:sz w:val="22"/>
        </w:rPr>
        <w:t>Source: Insider Transaction Data (SEC Form 4 filings).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