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LYV before writing the preview. Let me start by gathering recent earnings materials, news, and stock data.Let me read the most recent quarter's materials and check for recent news/filings.Let me get recent news context and the year-ago Q2 comparison base.Let me search for the latest developments (DOJ/antitrust, recent tours) heading into the print.Let me pull details from the preview and antitrust verdict articles.Let me get details on the antitrust verdict — a key overhang.# Live Nation Entertainment (LYV) — Q2 2026 Earnings Preview</w:t>
      </w:r>
    </w:p>
    <w:bookmarkStart w:id="9" w:name="X05b6c9ed76bbee6e2935316d2403e7708cccb68"/>
    <w:p>
      <w:pPr>
        <w:pStyle w:val="Heading3"/>
      </w:pPr>
      <w:r>
        <w:t xml:space="preserve">Reports Thursday, July 30, 2026 (after market close; call 5:00 pm ET / 2:00 pm PT)</w:t>
      </w:r>
    </w:p>
    <w:p>
      <w:r>
        <w:pict>
          <v:rect style="width:0;height:1.5pt" o:hralign="center" o:hrstd="t" o:hr="t"/>
        </w:pict>
      </w:r>
    </w:p>
    <w:bookmarkEnd w:id="9"/>
    <w:bookmarkStart w:id="10" w:name="X3e399183b3a8e5684cb07de7a3446a3cc72a65a"/>
    <w:p>
      <w:pPr>
        <w:pStyle w:val="Heading2"/>
      </w:pPr>
      <w:r>
        <w:t xml:space="preserve">1. The Setup: Stock at Highs Into a Deceleration Quarter</w:t>
      </w:r>
    </w:p>
    <w:p>
      <w:pPr>
        <w:pStyle w:val="FirstParagraph"/>
      </w:pPr>
      <w:r>
        <w:t xml:space="preserve">LYV goes into this print near all-time highs. The stock closed at</w:t>
      </w:r>
      <w:r>
        <w:t xml:space="preserve"> </w:t>
      </w:r>
      <w:r>
        <w:rPr>
          <w:b/>
          <w:bCs/>
        </w:rPr>
        <w:t xml:space="preserve">~$183</w:t>
      </w:r>
      <w:r>
        <w:t xml:space="preserve"> </w:t>
      </w:r>
      <w:r>
        <w:t xml:space="preserve">on July 29, up roughly</w:t>
      </w:r>
      <w:r>
        <w:t xml:space="preserve"> </w:t>
      </w:r>
      <w:r>
        <w:rPr>
          <w:b/>
          <w:bCs/>
        </w:rPr>
        <w:t xml:space="preserve">+28% year-to-date</w:t>
      </w:r>
      <w:r>
        <w:t xml:space="preserve"> </w:t>
      </w:r>
      <w:r>
        <w:t xml:space="preserve">and</w:t>
      </w:r>
      <w:r>
        <w:t xml:space="preserve"> </w:t>
      </w:r>
      <w:r>
        <w:rPr>
          <w:b/>
          <w:bCs/>
        </w:rPr>
        <w:t xml:space="preserve">+22% over the trailing 12 months</w:t>
      </w:r>
      <w:r>
        <w:t xml:space="preserve"> </w:t>
      </w:r>
      <w:r>
        <w:t xml:space="preserve">— meaningfully outpacing the S&amp;P 500 over the same window. That leaves little margin for error: expectations are elevated even as the</w:t>
      </w:r>
      <w:r>
        <w:t xml:space="preserve"> </w:t>
      </w:r>
      <w:r>
        <w:rPr>
          <w:i/>
          <w:iCs/>
        </w:rPr>
        <w:t xml:space="preserve">reported</w:t>
      </w:r>
      <w:r>
        <w:t xml:space="preserve"> </w:t>
      </w:r>
      <w:r>
        <w:t xml:space="preserve">growth rate is set to slow sharply.</w:t>
      </w:r>
    </w:p>
    <w:p>
      <w:pPr>
        <w:pStyle w:val="BodyText"/>
      </w:pPr>
      <w:r>
        <w:t xml:space="preserve">The market's own reaction history underscores how binary these prints have become. The stock</w:t>
      </w:r>
      <w:r>
        <w:t xml:space="preserve"> </w:t>
      </w:r>
      <w:r>
        <w:rPr>
          <w:b/>
          <w:bCs/>
        </w:rPr>
        <w:t xml:space="preserve">jumped +6.7%</w:t>
      </w:r>
      <w:r>
        <w:t xml:space="preserve"> </w:t>
      </w:r>
      <w:r>
        <w:t xml:space="preserve">the day after the Q1 2026 beat (May), but</w:t>
      </w:r>
      <w:r>
        <w:t xml:space="preserve"> </w:t>
      </w:r>
      <w:r>
        <w:rPr>
          <w:b/>
          <w:bCs/>
        </w:rPr>
        <w:t xml:space="preserve">fell ~11%</w:t>
      </w:r>
      <w:r>
        <w:t xml:space="preserve"> </w:t>
      </w:r>
      <w:r>
        <w:t xml:space="preserve">after the Q3 2025 miss (November). Wall Street's short-term signals are mixed heading in — the consensus points to strong EPS growth, yet Zacks flags the name a Rank #5 ("Strong Sell") despite a positive Earnings ESP, so a beat is far from guaranteed.</w:t>
      </w:r>
    </w:p>
    <w:p>
      <w:r>
        <w:pict>
          <v:rect style="width:0;height:1.5pt" o:hralign="center" o:hrstd="t" o:hr="t"/>
        </w:pict>
      </w:r>
    </w:p>
    <w:bookmarkEnd w:id="10"/>
    <w:bookmarkStart w:id="11" w:name="X07034c3b35d37eba1c6d5cb41fa8675be0f21ec"/>
    <w:p>
      <w:pPr>
        <w:pStyle w:val="Heading2"/>
      </w:pPr>
      <w:r>
        <w:t xml:space="preserve">2. 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Y/Y</w:t>
            </w:r>
          </w:p>
        </w:tc>
      </w:tr>
      <w:tr>
        <w:tc>
          <w:tcPr/>
          <w:p>
            <w:pPr>
              <w:pStyle w:val="Compact"/>
            </w:pPr>
            <w:r>
              <w:t xml:space="preserve">Revenue</w:t>
            </w:r>
          </w:p>
        </w:tc>
        <w:tc>
          <w:tcPr/>
          <w:p>
            <w:pPr>
              <w:pStyle w:val="Compact"/>
            </w:pPr>
            <w:r>
              <w:t xml:space="preserve">~$7.53B</w:t>
            </w:r>
          </w:p>
        </w:tc>
        <w:tc>
          <w:tcPr/>
          <w:p>
            <w:pPr>
              <w:pStyle w:val="Compact"/>
            </w:pPr>
            <w:r>
              <w:t xml:space="preserve">$7.01B</w:t>
            </w:r>
          </w:p>
        </w:tc>
        <w:tc>
          <w:tcPr/>
          <w:p>
            <w:pPr>
              <w:pStyle w:val="Compact"/>
            </w:pPr>
            <w:r>
              <w:t xml:space="preserve">+7.5%</w:t>
            </w:r>
          </w:p>
        </w:tc>
      </w:tr>
      <w:tr>
        <w:tc>
          <w:tcPr/>
          <w:p>
            <w:pPr>
              <w:pStyle w:val="Compact"/>
            </w:pPr>
            <w:r>
              <w:t xml:space="preserve">Adjusted EPS</w:t>
            </w:r>
          </w:p>
        </w:tc>
        <w:tc>
          <w:tcPr/>
          <w:p>
            <w:pPr>
              <w:pStyle w:val="Compact"/>
            </w:pPr>
            <w:r>
              <w:t xml:space="preserve">~$0.59</w:t>
            </w:r>
          </w:p>
        </w:tc>
        <w:tc>
          <w:tcPr/>
          <w:p>
            <w:pPr>
              <w:pStyle w:val="Compact"/>
            </w:pPr>
            <w:r>
              <w:t xml:space="preserve">$0.41</w:t>
            </w:r>
          </w:p>
        </w:tc>
        <w:tc>
          <w:tcPr/>
          <w:p>
            <w:pPr>
              <w:pStyle w:val="Compact"/>
            </w:pPr>
            <w:r>
              <w:t xml:space="preserve">+44%</w:t>
            </w:r>
          </w:p>
        </w:tc>
      </w:tr>
    </w:tbl>
    <w:p>
      <w:pPr>
        <w:pStyle w:val="BodyText"/>
      </w:pPr>
      <w:r>
        <w:t xml:space="preserve">The critical nuance:</w:t>
      </w:r>
      <w:r>
        <w:t xml:space="preserve"> </w:t>
      </w:r>
      <w:r>
        <w:rPr>
          <w:b/>
          <w:bCs/>
        </w:rPr>
        <w:t xml:space="preserve">revenue growth is expected to decelerate to ~8% from +16% in the year-ago quarter.</w:t>
      </w:r>
      <w:r>
        <w:t xml:space="preserve"> </w:t>
      </w:r>
      <w:r>
        <w:t xml:space="preserve">This is not (necessarily) a demand problem — it is largely calendar mechanics management telegraphed on the Q1 call and in the Q1 release.</w:t>
      </w:r>
    </w:p>
    <w:p>
      <w:r>
        <w:pict>
          <v:rect style="width:0;height:1.5pt" o:hralign="center" o:hrstd="t" o:hr="t"/>
        </w:pict>
      </w:r>
    </w:p>
    <w:bookmarkEnd w:id="11"/>
    <w:bookmarkStart w:id="12" w:name="Xbb910e693dea83f116be0f6db80653c4c8aa552"/>
    <w:p>
      <w:pPr>
        <w:pStyle w:val="Heading2"/>
      </w:pPr>
      <w:r>
        <w:t xml:space="preserve">3. The Single Most Important Framing: 2026 Is Back-Half Weighted</w:t>
      </w:r>
    </w:p>
    <w:p>
      <w:pPr>
        <w:pStyle w:val="FirstParagraph"/>
      </w:pPr>
      <w:r>
        <w:t xml:space="preserve">Management was unusually explicit last quarter that growth this year skews to Q3 and Q4, so</w:t>
      </w:r>
      <w:r>
        <w:t xml:space="preserve"> </w:t>
      </w:r>
      <w:r>
        <w:rPr>
          <w:b/>
          <w:bCs/>
        </w:rPr>
        <w:t xml:space="preserve">investors should be careful not to over-read a "soft-looking" Q2.</w:t>
      </w:r>
      <w:r>
        <w:t xml:space="preserve"> </w:t>
      </w:r>
      <w:r>
        <w:t xml:space="preserve">From the Q1 disclosures:</w:t>
      </w:r>
    </w:p>
    <w:p>
      <w:pPr>
        <w:pStyle w:val="Compact"/>
        <w:numPr>
          <w:ilvl w:val="0"/>
          <w:numId w:val="1001"/>
        </w:numPr>
      </w:pPr>
      <w:r>
        <w:rPr>
          <w:b/>
          <w:bCs/>
        </w:rPr>
        <w:t xml:space="preserve">All stadium fan growth will occur in the second half.</w:t>
      </w:r>
      <w:r>
        <w:t xml:space="preserve"> </w:t>
      </w:r>
      <w:r>
        <w:t xml:space="preserve">Stadiums (up globally) skew to the summer, which lands in Q3.</w:t>
      </w:r>
    </w:p>
    <w:p>
      <w:pPr>
        <w:pStyle w:val="Compact"/>
        <w:numPr>
          <w:ilvl w:val="0"/>
          <w:numId w:val="1001"/>
        </w:numPr>
      </w:pPr>
      <w:r>
        <w:rPr>
          <w:b/>
          <w:bCs/>
        </w:rPr>
        <w:t xml:space="preserve">~70% of amphitheater fan growth is expected in Q3</w:t>
      </w:r>
      <w:r>
        <w:t xml:space="preserve">, in line with the summer calendar.</w:t>
      </w:r>
    </w:p>
    <w:p>
      <w:pPr>
        <w:pStyle w:val="Compact"/>
        <w:numPr>
          <w:ilvl w:val="0"/>
          <w:numId w:val="1001"/>
        </w:numPr>
      </w:pPr>
      <w:r>
        <w:t xml:space="preserve">The</w:t>
      </w:r>
      <w:r>
        <w:t xml:space="preserve"> </w:t>
      </w:r>
      <w:r>
        <w:rPr>
          <w:b/>
          <w:bCs/>
        </w:rPr>
        <w:t xml:space="preserve">top driver of Q2 fan growth was expected to be third-party arenas</w:t>
      </w:r>
      <w:r>
        <w:t xml:space="preserve"> </w:t>
      </w:r>
      <w:r>
        <w:t xml:space="preserve">— a lower-margin mix than owned amphitheaters/stadiums.</w:t>
      </w:r>
    </w:p>
    <w:p>
      <w:pPr>
        <w:pStyle w:val="Compact"/>
        <w:numPr>
          <w:ilvl w:val="0"/>
          <w:numId w:val="1001"/>
        </w:numPr>
      </w:pPr>
      <w:r>
        <w:t xml:space="preserve">Management said Q3 AOI would be the standout, with Q4 also "shaping up to be very strong."</w:t>
      </w:r>
    </w:p>
    <w:p>
      <w:pPr>
        <w:pStyle w:val="FirstParagraph"/>
      </w:pPr>
      <w:r>
        <w:t xml:space="preserve">Layered on top is a</w:t>
      </w:r>
      <w:r>
        <w:t xml:space="preserve"> </w:t>
      </w:r>
      <w:r>
        <w:rPr>
          <w:b/>
          <w:bCs/>
        </w:rPr>
        <w:t xml:space="preserve">tough comp</w:t>
      </w:r>
      <w:r>
        <w:t xml:space="preserve">: Q2 2025 was a blockbuster — global attendance rose</w:t>
      </w:r>
      <w:r>
        <w:t xml:space="preserve"> </w:t>
      </w:r>
      <w:r>
        <w:rPr>
          <w:b/>
          <w:bCs/>
        </w:rPr>
        <w:t xml:space="preserve">+14% to 44 million fans with stadium attendance</w:t>
      </w:r>
      <w:r>
        <w:rPr>
          <w:b/>
          <w:bCs/>
        </w:rPr>
        <w:t xml:space="preserve"> </w:t>
      </w:r>
      <w:r>
        <w:rPr>
          <w:b/>
          <w:bCs/>
          <w:i/>
          <w:iCs/>
        </w:rPr>
        <w:t xml:space="preserve">tripling</w:t>
      </w:r>
      <w:r>
        <w:t xml:space="preserve">, and Concerts AOI jumped +33% to a record $359M. Lapping that, headline Q2 2026 concert metrics may look pedestrian even if the full-year story is fully intact.</w:t>
      </w:r>
    </w:p>
    <w:p>
      <w:pPr>
        <w:pStyle w:val="BodyText"/>
      </w:pPr>
      <w:r>
        <w:rPr>
          <w:b/>
          <w:bCs/>
        </w:rPr>
        <w:t xml:space="preserve">Bottom line for the quarter:</w:t>
      </w:r>
      <w:r>
        <w:t xml:space="preserve"> </w:t>
      </w:r>
      <w:r>
        <w:t xml:space="preserve">focus less on the absolute Q2 growth rate and more on (a) whether management</w:t>
      </w:r>
      <w:r>
        <w:t xml:space="preserve"> </w:t>
      </w:r>
      <w:r>
        <w:rPr>
          <w:b/>
          <w:bCs/>
        </w:rPr>
        <w:t xml:space="preserve">reaffirms full-year double-digit AOI growth</w:t>
      </w:r>
      <w:r>
        <w:t xml:space="preserve">, and (b) forward indicators (deferred revenue, booked show counts) that validate the 2H acceleration thesis.</w:t>
      </w:r>
    </w:p>
    <w:p>
      <w:r>
        <w:pict>
          <v:rect style="width:0;height:1.5pt" o:hralign="center" o:hrstd="t" o:hr="t"/>
        </w:pict>
      </w:r>
    </w:p>
    <w:bookmarkEnd w:id="12"/>
    <w:bookmarkStart w:id="13" w:name="X41b9abff4c8dde97b8d83bd19e9bbb92b4dac85"/>
    <w:p>
      <w:pPr>
        <w:pStyle w:val="Heading2"/>
      </w:pPr>
      <w:r>
        <w:t xml:space="preserve">4. Key Things to Watch on the Print</w:t>
      </w:r>
    </w:p>
    <w:p>
      <w:pPr>
        <w:pStyle w:val="FirstParagraph"/>
      </w:pPr>
      <w:r>
        <w:rPr>
          <w:b/>
          <w:bCs/>
        </w:rPr>
        <w:t xml:space="preserve">a) Forward indicators / deferred revenue.</w:t>
      </w:r>
      <w:r>
        <w:t xml:space="preserve"> </w:t>
      </w:r>
      <w:r>
        <w:t xml:space="preserve">These have been the best tell on this business. In Q1, event-related deferred revenue hit a</w:t>
      </w:r>
      <w:r>
        <w:t xml:space="preserve"> </w:t>
      </w:r>
      <w:r>
        <w:rPr>
          <w:b/>
          <w:bCs/>
        </w:rPr>
        <w:t xml:space="preserve">record $6.6B (+22%)</w:t>
      </w:r>
      <w:r>
        <w:t xml:space="preserve">, and the company had already</w:t>
      </w:r>
      <w:r>
        <w:t xml:space="preserve"> </w:t>
      </w:r>
      <w:r>
        <w:rPr>
          <w:b/>
          <w:bCs/>
        </w:rPr>
        <w:t xml:space="preserve">booked &gt;85% of 2026 large-venue shows</w:t>
      </w:r>
      <w:r>
        <w:t xml:space="preserve"> </w:t>
      </w:r>
      <w:r>
        <w:t xml:space="preserve">and sold</w:t>
      </w:r>
      <w:r>
        <w:t xml:space="preserve"> </w:t>
      </w:r>
      <w:r>
        <w:rPr>
          <w:b/>
          <w:bCs/>
        </w:rPr>
        <w:t xml:space="preserve">&gt;107M concert tickets (+11%)</w:t>
      </w:r>
      <w:r>
        <w:t xml:space="preserve">. Watch for continued double-digit growth in deferred revenue and confirmation that the summer stadium/amphitheater slate is filling as expected. Management said in May they'd "talk in August," implying they'd have real-time reads on summer on-site spend and demand.</w:t>
      </w:r>
    </w:p>
    <w:p>
      <w:pPr>
        <w:pStyle w:val="BodyText"/>
      </w:pPr>
      <w:r>
        <w:rPr>
          <w:b/>
          <w:bCs/>
        </w:rPr>
        <w:t xml:space="preserve">b) Concerts margin and mix.</w:t>
      </w:r>
      <w:r>
        <w:t xml:space="preserve"> </w:t>
      </w:r>
      <w:r>
        <w:t xml:space="preserve">With Q2 mix tilted to third-party arenas, Concerts AOI margin could look flat-to-soft; the bigger margin story (owned amphitheaters, premium hospitality) is a 2H event. Watch on-site/per-fan spend — the Vinyl Room premium rollout was running</w:t>
      </w:r>
      <w:r>
        <w:t xml:space="preserve"> </w:t>
      </w:r>
      <w:r>
        <w:rPr>
          <w:b/>
          <w:bCs/>
        </w:rPr>
        <w:t xml:space="preserve">&gt;$100 per fan</w:t>
      </w:r>
      <w:r>
        <w:t xml:space="preserve"> </w:t>
      </w:r>
      <w:r>
        <w:t xml:space="preserve">at the Hollywood Palladium.</w:t>
      </w:r>
    </w:p>
    <w:p>
      <w:pPr>
        <w:pStyle w:val="BodyText"/>
      </w:pPr>
      <w:r>
        <w:rPr>
          <w:b/>
          <w:bCs/>
        </w:rPr>
        <w:t xml:space="preserve">c) Ticketmaster headwind.</w:t>
      </w:r>
      <w:r>
        <w:t xml:space="preserve"> </w:t>
      </w:r>
      <w:r>
        <w:t xml:space="preserve">Management guided that its crackdown on broker/scalper inventory in the secondary market is a</w:t>
      </w:r>
      <w:r>
        <w:t xml:space="preserve"> </w:t>
      </w:r>
      <w:r>
        <w:rPr>
          <w:b/>
          <w:bCs/>
        </w:rPr>
        <w:t xml:space="preserve">structural, one-time mid-single-digit AOI headwind for full-year 2026</w:t>
      </w:r>
      <w:r>
        <w:t xml:space="preserve">, with full-year Ticketing margin expected to be similar to last year. Watch primary fee-bearing ticket volume (guided to mid-single-digit growth) and whether elevated legal/compliance costs inside the segment are moderating as promised.</w:t>
      </w:r>
    </w:p>
    <w:p>
      <w:pPr>
        <w:pStyle w:val="BodyText"/>
      </w:pPr>
      <w:r>
        <w:rPr>
          <w:b/>
          <w:bCs/>
        </w:rPr>
        <w:t xml:space="preserve">d) Sponsorship.</w:t>
      </w:r>
      <w:r>
        <w:t xml:space="preserve"> </w:t>
      </w:r>
      <w:r>
        <w:t xml:space="preserve">The consistent bright spot — Q1 AOI +21%, with</w:t>
      </w:r>
      <w:r>
        <w:t xml:space="preserve"> </w:t>
      </w:r>
      <w:r>
        <w:rPr>
          <w:b/>
          <w:bCs/>
        </w:rPr>
        <w:t xml:space="preserve">85% of 2026 sponsorship already committed</w:t>
      </w:r>
      <w:r>
        <w:t xml:space="preserve"> </w:t>
      </w:r>
      <w:r>
        <w:t xml:space="preserve">as of April. Expect continued double-digit AOI growth; any deceleration here would be a genuine surprise.</w:t>
      </w:r>
    </w:p>
    <w:p>
      <w:pPr>
        <w:pStyle w:val="BodyText"/>
      </w:pPr>
      <w:r>
        <w:rPr>
          <w:b/>
          <w:bCs/>
        </w:rPr>
        <w:t xml:space="preserve">e) Venue Nation &amp; capital allocation.</w:t>
      </w:r>
      <w:r>
        <w:t xml:space="preserve"> </w:t>
      </w:r>
      <w:r>
        <w:t xml:space="preserve">FY26 capex is guided to</w:t>
      </w:r>
      <w:r>
        <w:t xml:space="preserve"> </w:t>
      </w:r>
      <m:oMath>
        <m:r>
          <m:t>1.1</m:t>
        </m:r>
        <m:r>
          <m:rPr>
            <m:sty m:val="p"/>
          </m:rPr>
          <m:t>–</m:t>
        </m:r>
        <m:r>
          <m:t>1.2</m:t>
        </m:r>
        <m:r>
          <m:t>B</m:t>
        </m:r>
        <m:r>
          <m:rPr>
            <m:sty m:val="p"/>
          </m:rPr>
          <m:t>*</m:t>
        </m:r>
        <m:r>
          <m:rPr>
            <m:sty m:val="p"/>
          </m:rPr>
          <m:t>*</m:t>
        </m:r>
        <m:r>
          <m:rPr>
            <m:sty m:val="p"/>
          </m:rPr>
          <m:t>(</m:t>
        </m:r>
        <m:r>
          <m:t> </m:t>
        </m:r>
      </m:oMath>
      <w:r>
        <w:rPr>
          <w:b/>
          <w:bCs/>
        </w:rPr>
        <w:t xml:space="preserve">800–850M for venues), partially offset by ~</w:t>
      </w:r>
      <w:r>
        <w:rPr>
          <w:b/>
          <w:bCs/>
        </w:rPr>
        <w:t xml:space="preserve">$250M of JV/sponsorship funding. The **~€610M venue-backed investment-grade securitization** is a new funding vehicle worth understanding — it lets LYV lever the "propco" venue portfolio separately. Leverage sat at a comfortable **3.6x** with **$</w:t>
      </w:r>
      <w:r>
        <w:rPr>
          <w:b/>
          <w:bCs/>
        </w:rPr>
        <w:t xml:space="preserve">9.1B cash</w:t>
      </w:r>
      <w:r>
        <w:t xml:space="preserve">.</w:t>
      </w:r>
    </w:p>
    <w:p>
      <w:r>
        <w:pict>
          <v:rect style="width:0;height:1.5pt" o:hralign="center" o:hrstd="t" o:hr="t"/>
        </w:pict>
      </w:r>
    </w:p>
    <w:bookmarkEnd w:id="13"/>
    <w:bookmarkStart w:id="14" w:name="Xe4e3e405920721e8b2633f3c71b20493d8dcf88"/>
    <w:p>
      <w:pPr>
        <w:pStyle w:val="Heading2"/>
      </w:pPr>
      <w:r>
        <w:t xml:space="preserve">5. The Overhang That Matters More Than the Quarter: Antitrust</w:t>
      </w:r>
    </w:p>
    <w:p>
      <w:pPr>
        <w:pStyle w:val="FirstParagraph"/>
      </w:pPr>
      <w:r>
        <w:t xml:space="preserve">This is arguably the dominant swing factor for the stock, and the situation escalated materially in 2026:</w:t>
      </w:r>
    </w:p>
    <w:p>
      <w:pPr>
        <w:pStyle w:val="Compact"/>
        <w:numPr>
          <w:ilvl w:val="0"/>
          <w:numId w:val="1002"/>
        </w:numPr>
      </w:pPr>
      <w:r>
        <w:t xml:space="preserve">The</w:t>
      </w:r>
      <w:r>
        <w:t xml:space="preserve"> </w:t>
      </w:r>
      <w:r>
        <w:rPr>
          <w:b/>
          <w:bCs/>
        </w:rPr>
        <w:t xml:space="preserve">DOJ settled</w:t>
      </w:r>
      <w:r>
        <w:t xml:space="preserve"> </w:t>
      </w:r>
      <w:r>
        <w:t xml:space="preserve">with Live Nation/Ticketmaster on March 9, 2026 (a behavioral-remedies package that keeps the company intact) — but the settlement drew political scrutiny and only six states joined.</w:t>
      </w:r>
    </w:p>
    <w:p>
      <w:pPr>
        <w:pStyle w:val="Compact"/>
        <w:numPr>
          <w:ilvl w:val="0"/>
          <w:numId w:val="1002"/>
        </w:numPr>
      </w:pPr>
      <w:r>
        <w:t xml:space="preserve">On</w:t>
      </w:r>
      <w:r>
        <w:t xml:space="preserve"> </w:t>
      </w:r>
      <w:r>
        <w:rPr>
          <w:b/>
          <w:bCs/>
        </w:rPr>
        <w:t xml:space="preserve">April 15, 2026, a federal jury (SDNY) found Live Nation and Ticketmaster liable on</w:t>
      </w:r>
      <w:r>
        <w:rPr>
          <w:b/>
          <w:bCs/>
        </w:rPr>
        <w:t xml:space="preserve"> </w:t>
      </w:r>
      <w:r>
        <w:rPr>
          <w:b/>
          <w:bCs/>
          <w:i/>
          <w:iCs/>
        </w:rPr>
        <w:t xml:space="preserve">all</w:t>
      </w:r>
      <w:r>
        <w:rPr>
          <w:b/>
          <w:bCs/>
        </w:rPr>
        <w:t xml:space="preserve"> </w:t>
      </w:r>
      <w:r>
        <w:rPr>
          <w:b/>
          <w:bCs/>
        </w:rPr>
        <w:t xml:space="preserve">antitrust counts</w:t>
      </w:r>
      <w:r>
        <w:t xml:space="preserve"> </w:t>
      </w:r>
      <w:r>
        <w:t xml:space="preserve">brought by the remaining 34 state AGs, including monopolization of primary ticketing and tying of amphitheaters to promotion services. The jury found fans in 22 states were</w:t>
      </w:r>
      <w:r>
        <w:t xml:space="preserve"> </w:t>
      </w:r>
      <w:r>
        <w:rPr>
          <w:b/>
          <w:bCs/>
        </w:rPr>
        <w:t xml:space="preserve">overcharged $1.72 per ticket.</w:t>
      </w:r>
    </w:p>
    <w:p>
      <w:pPr>
        <w:pStyle w:val="Compact"/>
        <w:numPr>
          <w:ilvl w:val="0"/>
          <w:numId w:val="1002"/>
        </w:numPr>
      </w:pPr>
      <w:r>
        <w:t xml:space="preserve">LYV has taken a</w:t>
      </w:r>
      <w:r>
        <w:t xml:space="preserve"> </w:t>
      </w:r>
      <w:r>
        <w:rPr>
          <w:b/>
          <w:bCs/>
        </w:rPr>
        <w:t xml:space="preserve">$450M legal accrual</w:t>
      </w:r>
      <w:r>
        <w:t xml:space="preserve"> </w:t>
      </w:r>
      <w:r>
        <w:t xml:space="preserve">(recorded in Q1, a $(1.93) EPS hit that AOI excludes) reflecting its estimate of trebled state damages.</w:t>
      </w:r>
    </w:p>
    <w:p>
      <w:pPr>
        <w:pStyle w:val="Compact"/>
        <w:numPr>
          <w:ilvl w:val="0"/>
          <w:numId w:val="1002"/>
        </w:numPr>
      </w:pPr>
      <w:r>
        <w:rPr>
          <w:b/>
          <w:bCs/>
        </w:rPr>
        <w:t xml:space="preserve">The remedies phase is the real risk.</w:t>
      </w:r>
      <w:r>
        <w:t xml:space="preserve"> </w:t>
      </w:r>
      <w:r>
        <w:t xml:space="preserve">The states are pushing for</w:t>
      </w:r>
      <w:r>
        <w:t xml:space="preserve"> </w:t>
      </w:r>
      <w:r>
        <w:rPr>
          <w:b/>
          <w:bCs/>
        </w:rPr>
        <w:t xml:space="preserve">structural relief — separating Ticketmaster from Live Nation and divesting amphitheaters</w:t>
      </w:r>
      <w:r>
        <w:t xml:space="preserve"> </w:t>
      </w:r>
      <w:r>
        <w:t xml:space="preserve">— which the court (not the jury) will decide. A separate certified consumer class action could imply far larger damages.</w:t>
      </w:r>
    </w:p>
    <w:p>
      <w:pPr>
        <w:pStyle w:val="FirstParagraph"/>
      </w:pPr>
      <w:r>
        <w:rPr>
          <w:b/>
          <w:bCs/>
        </w:rPr>
        <w:t xml:space="preserve">What to listen for:</w:t>
      </w:r>
      <w:r>
        <w:t xml:space="preserve"> </w:t>
      </w:r>
      <w:r>
        <w:t xml:space="preserve">any update on the remedies-phase schedule, the court's handling of the DOJ settlement vs. the states' verdict, and management's characterization of appeal timelines. Even incremental clarity (or additional accrual) could move the stock more than the operating results. Note the AOI figures management guides to</w:t>
      </w:r>
      <w:r>
        <w:t xml:space="preserve"> </w:t>
      </w:r>
      <w:r>
        <w:rPr>
          <w:i/>
          <w:iCs/>
        </w:rPr>
        <w:t xml:space="preserve">exclude</w:t>
      </w:r>
      <w:r>
        <w:t xml:space="preserve"> </w:t>
      </w:r>
      <w:r>
        <w:t xml:space="preserve">these litigation charges, so headline GAAP operating income will again look distorted (Q1 showed a $371M operating</w:t>
      </w:r>
      <w:r>
        <w:t xml:space="preserve"> </w:t>
      </w:r>
      <w:r>
        <w:rPr>
          <w:i/>
          <w:iCs/>
        </w:rPr>
        <w:t xml:space="preserve">loss</w:t>
      </w:r>
      <w:r>
        <w:t xml:space="preserve"> </w:t>
      </w:r>
      <w:r>
        <w:t xml:space="preserve">vs. $371M positive AOI).</w:t>
      </w:r>
    </w:p>
    <w:p>
      <w:r>
        <w:pict>
          <v:rect style="width:0;height:1.5pt" o:hralign="center" o:hrstd="t" o:hr="t"/>
        </w:pict>
      </w:r>
    </w:p>
    <w:bookmarkEnd w:id="14"/>
    <w:bookmarkStart w:id="15" w:name="X64f73981bef44c5e6bf77eeb3e5962960e41406"/>
    <w:p>
      <w:pPr>
        <w:pStyle w:val="Heading2"/>
      </w:pPr>
      <w:r>
        <w:t xml:space="preserve">6. Bull vs. Bear Into the Print</w:t>
      </w:r>
    </w:p>
    <w:p>
      <w:pPr>
        <w:pStyle w:val="FirstParagraph"/>
      </w:pPr>
      <w:r>
        <w:rPr>
          <w:b/>
          <w:bCs/>
        </w:rPr>
        <w:t xml:space="preserve">Bull case:</w:t>
      </w:r>
      <w:r>
        <w:t xml:space="preserve"> </w:t>
      </w:r>
      <w:r>
        <w:t xml:space="preserve">Structural live-demand story remains intact and global; deferred revenue at records; supply of touring artists expanding worldwide (Latin America, Asia, K-pop); Venue Nation and premium hospitality are multi-year margin/AOI compounding drivers; sponsorship growing 20%+; strong balance sheet and improving FCF conversion. Management continues to frame LYV as a "long-term compounding double-digit grower."</w:t>
      </w:r>
    </w:p>
    <w:p>
      <w:pPr>
        <w:pStyle w:val="BodyText"/>
      </w:pPr>
      <w:r>
        <w:rPr>
          <w:b/>
          <w:bCs/>
        </w:rPr>
        <w:t xml:space="preserve">Bear case:</w:t>
      </w:r>
      <w:r>
        <w:t xml:space="preserve"> </w:t>
      </w:r>
      <w:r>
        <w:t xml:space="preserve">Stock priced for perfection near highs; Q2 headline growth decelerating and lapping a monster comp; Ticketing facing a self-inflicted secondary headwind; capex ramping ($1.1B+); and — most importantly — an unresolved antitrust verdict with a live risk of a forced Ticketmaster breakup / amphitheater divestiture and additional damages.</w:t>
      </w:r>
    </w:p>
    <w:p>
      <w:r>
        <w:pict>
          <v:rect style="width:0;height:1.5pt" o:hralign="center" o:hrstd="t" o:hr="t"/>
        </w:pict>
      </w:r>
    </w:p>
    <w:bookmarkEnd w:id="15"/>
    <w:bookmarkStart w:id="16" w:name="X7a3bbf556adfc11a6000f5b234b318bdc6ae48e"/>
    <w:p>
      <w:pPr>
        <w:pStyle w:val="Heading2"/>
      </w:pPr>
      <w:r>
        <w:t xml:space="preserve">7. Bottom Line</w:t>
      </w:r>
    </w:p>
    <w:p>
      <w:pPr>
        <w:pStyle w:val="FirstParagraph"/>
      </w:pPr>
      <w:r>
        <w:t xml:space="preserve">Expect a</w:t>
      </w:r>
      <w:r>
        <w:t xml:space="preserve"> </w:t>
      </w:r>
      <w:r>
        <w:rPr>
          <w:b/>
          <w:bCs/>
        </w:rPr>
        <w:t xml:space="preserve">quarter that looks decelerating on the surface (~8% revenue growth, ~$0.59 EPS) but that management will frame as fully on-track for double-digit full-year AOI growth</w:t>
      </w:r>
      <w:r>
        <w:t xml:space="preserve">, with the real inflection back-half loaded into the summer stadium/amphitheater season. The operating fundamentals will likely be fine-to-good; the</w:t>
      </w:r>
      <w:r>
        <w:t xml:space="preserve"> </w:t>
      </w:r>
      <w:r>
        <w:rPr>
          <w:b/>
          <w:bCs/>
        </w:rPr>
        <w:t xml:space="preserve">reaffirmation of full-year guidance and forward booking/deferred-revenue metrics are the tell.</w:t>
      </w:r>
      <w:r>
        <w:t xml:space="preserve"> </w:t>
      </w:r>
      <w:r>
        <w:t xml:space="preserve">But with the shares at highs, the tape-moving variable may be</w:t>
      </w:r>
      <w:r>
        <w:t xml:space="preserve"> </w:t>
      </w:r>
      <w:r>
        <w:rPr>
          <w:b/>
          <w:bCs/>
        </w:rPr>
        <w:t xml:space="preserve">any news on the antitrust remedies phase</w:t>
      </w:r>
      <w:r>
        <w:t xml:space="preserve">, where the tail risk of structural separation looms larger than a single quarter's results. Watch the call commentary (August is when management said they'd have live summer reads) at least as closely as the printed numbers.</w:t>
      </w:r>
    </w:p>
    <w:p>
      <w:pPr>
        <w:pStyle w:val="BodyText"/>
      </w:pPr>
      <w:r>
        <w:rPr>
          <w:i/>
          <w:iCs/>
        </w:rPr>
        <w:t xml:space="preserve">Note: Consensus figures are from third-party estimate aggregators and may differ modestly across providers; LYV does not give formal quarterly guidance.</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2026-07-29T19:24:13Z</dcterms:created>
  <dcterms:modified xsi:type="dcterms:W3CDTF">2026-07-29T19:24:13Z</dcterms:modified>
</cp:coreProperties>
</file>

<file path=docProps/custom.xml><?xml version="1.0" encoding="utf-8"?>
<Properties xmlns="http://schemas.openxmlformats.org/officeDocument/2006/custom-properties" xmlns:vt="http://schemas.openxmlformats.org/officeDocument/2006/docPropsVTypes"/>
</file>