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Live Nation Entertainment (LYV) to prepare a thorough earnings preview. Let me gather recent financial data, news, and prior earnings commentary.# Live Nation Entertainment (LYV) — Q2 2026 Earnings Preview</w:t>
      </w:r>
      <w:r>
        <w:t xml:space="preserve"> </w:t>
      </w:r>
      <w:r>
        <w:rPr>
          <w:b/>
          <w:bCs/>
        </w:rPr>
        <w:t xml:space="preserve">Reports:</w:t>
      </w:r>
      <w:r>
        <w:t xml:space="preserve"> </w:t>
      </w:r>
      <w:r>
        <w:t xml:space="preserve">Thursday, July 30,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Recent price (7/29/26)</w:t>
            </w:r>
          </w:p>
        </w:tc>
        <w:tc>
          <w:tcPr/>
          <w:p>
            <w:pPr>
              <w:pStyle w:val="Compact"/>
            </w:pPr>
            <w:r>
              <w:t xml:space="preserve">~$183, near 52-week highs</w:t>
            </w:r>
          </w:p>
        </w:tc>
      </w:tr>
      <w:tr>
        <w:tc>
          <w:tcPr/>
          <w:p>
            <w:pPr>
              <w:pStyle w:val="Compact"/>
            </w:pPr>
            <w:r>
              <w:t xml:space="preserve">YTD performance</w:t>
            </w:r>
          </w:p>
        </w:tc>
        <w:tc>
          <w:tcPr/>
          <w:p>
            <w:pPr>
              <w:pStyle w:val="Compact"/>
            </w:pPr>
            <w:r>
              <w:t xml:space="preserve">+26% (from ~$145 at start of Jan-2026)</w:t>
            </w:r>
          </w:p>
        </w:tc>
      </w:tr>
      <w:tr>
        <w:tc>
          <w:tcPr/>
          <w:p>
            <w:pPr>
              <w:pStyle w:val="Compact"/>
            </w:pPr>
            <w:r>
              <w:t xml:space="preserve">Since Q1 print (5/5/26)</w:t>
            </w:r>
          </w:p>
        </w:tc>
        <w:tc>
          <w:tcPr/>
          <w:p>
            <w:pPr>
              <w:pStyle w:val="Compact"/>
            </w:pPr>
            <w:r>
              <w:t xml:space="preserve">+16%</w:t>
            </w:r>
          </w:p>
        </w:tc>
      </w:tr>
      <w:tr>
        <w:tc>
          <w:tcPr/>
          <w:p>
            <w:pPr>
              <w:pStyle w:val="Compact"/>
            </w:pPr>
            <w:r>
              <w:t xml:space="preserve">Consensus EPS (adj.)</w:t>
            </w:r>
          </w:p>
        </w:tc>
        <w:tc>
          <w:tcPr/>
          <w:p>
            <w:pPr>
              <w:pStyle w:val="Compact"/>
            </w:pPr>
            <w:r>
              <w:rPr>
                <w:b/>
                <w:bCs/>
              </w:rPr>
              <w:t xml:space="preserve">$0.59</w:t>
            </w:r>
            <w:r>
              <w:t xml:space="preserve">, vs. $0.41 a year ago (+43.9% y/y)</w:t>
            </w:r>
          </w:p>
        </w:tc>
      </w:tr>
      <w:tr>
        <w:tc>
          <w:tcPr/>
          <w:p>
            <w:pPr>
              <w:pStyle w:val="Compact"/>
            </w:pPr>
            <w:r>
              <w:t xml:space="preserve">Consensus revenue</w:t>
            </w:r>
          </w:p>
        </w:tc>
        <w:tc>
          <w:tcPr/>
          <w:p>
            <w:pPr>
              <w:pStyle w:val="Compact"/>
            </w:pPr>
            <w:r>
              <w:rPr>
                <w:b/>
                <w:bCs/>
              </w:rPr>
              <w:t xml:space="preserve">~$7.53B</w:t>
            </w:r>
            <w:r>
              <w:t xml:space="preserve">, +7.5% y/y</w:t>
            </w:r>
          </w:p>
        </w:tc>
      </w:tr>
      <w:tr>
        <w:tc>
          <w:tcPr/>
          <w:p>
            <w:pPr>
              <w:pStyle w:val="Compact"/>
            </w:pPr>
            <w:r>
              <w:t xml:space="preserve">Wall Street sentiment</w:t>
            </w:r>
          </w:p>
        </w:tc>
        <w:tc>
          <w:tcPr/>
          <w:p>
            <w:pPr>
              <w:pStyle w:val="Compact"/>
            </w:pPr>
            <w:r>
              <w:t xml:space="preserve">Mostly bullish (multiple</w:t>
            </w:r>
            <w:r>
              <w:t xml:space="preserve"> </w:t>
            </w:r>
            <m:oMath>
              <m:r>
                <m:t>200</m:t>
              </m:r>
              <m:r>
                <m:rPr>
                  <m:sty m:val="p"/>
                </m:rPr>
                <m:t>–</m:t>
              </m:r>
            </m:oMath>
            <w:r>
              <w:t xml:space="preserve">215 price targets) but one recent downgrade on valuation</w:t>
            </w:r>
          </w:p>
        </w:tc>
      </w:tr>
    </w:tbl>
    <w:p>
      <w:pPr>
        <w:pStyle w:val="BodyText"/>
      </w:pPr>
      <w:r>
        <w:t xml:space="preserve">The stock has been on a strong run into the print, rallying from the mid-</w:t>
      </w:r>
      <m:oMath>
        <m:r>
          <m:t>150</m:t>
        </m:r>
        <m:r>
          <m:t>s</m:t>
        </m:r>
        <m:r>
          <m:t>i</m:t>
        </m:r>
        <m:r>
          <m:t>n</m:t>
        </m:r>
        <m:r>
          <m:t>e</m:t>
        </m:r>
        <m:r>
          <m:t>a</m:t>
        </m:r>
        <m:r>
          <m:t>r</m:t>
        </m:r>
        <m:r>
          <m:t>l</m:t>
        </m:r>
        <m:r>
          <m:t>y</m:t>
        </m:r>
        <m:r>
          <m:t>M</m:t>
        </m:r>
        <m:r>
          <m:t>a</m:t>
        </m:r>
        <m:r>
          <m:t>y</m:t>
        </m:r>
        <m:r>
          <m:t>t</m:t>
        </m:r>
        <m:r>
          <m:t>o</m:t>
        </m:r>
        <m:r>
          <m:t>t</m:t>
        </m:r>
        <m:r>
          <m:t>h</m:t>
        </m:r>
        <m:r>
          <m:t>e</m:t>
        </m:r>
        <m:r>
          <m:t>l</m:t>
        </m:r>
        <m:r>
          <m:t>o</m:t>
        </m:r>
        <m:r>
          <m:t>w</m:t>
        </m:r>
        <m:r>
          <m:rPr>
            <m:sty m:val="p"/>
          </m:rPr>
          <m:t>−</m:t>
        </m:r>
      </m:oMath>
      <w:r>
        <w:t xml:space="preserve">180s, so expectations — and the bar for a "clean" beat — are elevated.</w:t>
      </w:r>
    </w:p>
    <w:bookmarkEnd w:id="9"/>
    <w:bookmarkStart w:id="10" w:name="X390a8d548ed4f52af040671bb4cddac795f908f"/>
    <w:p>
      <w:pPr>
        <w:pStyle w:val="Heading2"/>
      </w:pPr>
      <w:r>
        <w:t xml:space="preserve">What Happened Last Quarter (Q1 2026) — Setting the Stage</w:t>
      </w:r>
    </w:p>
    <w:p>
      <w:pPr>
        <w:pStyle w:val="FirstParagraph"/>
      </w:pPr>
      <w:r>
        <w:t xml:space="preserve">Q1 is seasonally the smallest quarter, but it delivered a strong top-line beat with a messy bottom line. Live Nation reported revenue of $3.8 billion, up 12%, alongside an operating loss of $371 million, impacted by a $450 million legal accrual, while adjusted operating income (AOI) came in at $371 million, up 9% with operating strength across all segments. Segment AOI was led by Sponsorship AOI up 21% to $165 million, driven by brand demand to connect with the global fan base, while Concerts AOI was just $3 million on fan attendance of 24 million (up 7%), and Ticketing AOI was $256 million on 81 million fee-bearing tickets (up 4%).</w:t>
      </w:r>
    </w:p>
    <w:p>
      <w:pPr>
        <w:pStyle w:val="BodyText"/>
      </w:pPr>
      <w:r>
        <w:t xml:space="preserve">Two management call-outs matter directly for Q2 expectations:</w:t>
      </w:r>
    </w:p>
    <w:p>
      <w:pPr>
        <w:pStyle w:val="Compact"/>
        <w:numPr>
          <w:ilvl w:val="0"/>
          <w:numId w:val="1001"/>
        </w:numPr>
      </w:pPr>
      <w:r>
        <w:rPr>
          <w:b/>
          <w:bCs/>
        </w:rPr>
        <w:t xml:space="preserve">Seasonality shift</w:t>
      </w:r>
      <w:r>
        <w:t xml:space="preserve">: Management explained that strong growth globally in stadiums and amphitheaters skews more toward Q3 given the summer calendar, so 2026's quarterly weighting differs from prior years, with growth coming in more strongly in Q3 than Q2, and Q4 margins also shaping up well. In the release, Live Nation specified the top driver of Q2 fan growth is expected to be third-party arenas, with 70% of amphitheater fan growth occurring in Q3 and all stadium fan growth in the second half. That's a key expectations-management data point: Q2 concert AOI/fan growth could look modest relative to the full-year double-digit target.</w:t>
      </w:r>
    </w:p>
    <w:p>
      <w:pPr>
        <w:pStyle w:val="Compact"/>
        <w:numPr>
          <w:ilvl w:val="0"/>
          <w:numId w:val="1001"/>
        </w:numPr>
      </w:pPr>
      <w:r>
        <w:rPr>
          <w:b/>
          <w:bCs/>
        </w:rPr>
        <w:t xml:space="preserve">Ticketmaster headwinds</w:t>
      </w:r>
      <w:r>
        <w:t xml:space="preserve">: Ongoing efforts to reduce scalper activity are expected to impact full-year Ticketmaster AOI by mid-single digits, described on the call as a one-time, structural step-down from limiting broker inventory on the Ticketmaster system, which the company expects to comp against for future growth. Ticketing AOI also absorbed $30 million in expenses related to legal and operational improvements in Q1, and management indicated on the call that elevated legal costs should moderate over the next few quarters — worth checking whether that's tracking.</w:t>
      </w:r>
    </w:p>
    <w:p>
      <w:pPr>
        <w:pStyle w:val="FirstParagraph"/>
      </w:pPr>
      <w:r>
        <w:t xml:space="preserve">Management reiterated a full-year framework of double-digit AOI growth despite the GAAP hit, plus balance-sheet strength: cash and cash equivalents of $9.1 billion (up from $7.2 billion a year ago) and free cash of $1.7 billion, up from $1.1 billion, with leverage at 3.6x and a weighted average cost of debt of 4.2%.</w:t>
      </w:r>
    </w:p>
    <w:bookmarkEnd w:id="10"/>
    <w:bookmarkStart w:id="11" w:name="q2-2026-consensus--key-metrics-to-watch"/>
    <w:p>
      <w:pPr>
        <w:pStyle w:val="Heading2"/>
      </w:pPr>
      <w:r>
        <w:t xml:space="preserve">Q2 2026 Consensus — Key Metrics to Watch</w:t>
      </w:r>
    </w:p>
    <w:p>
      <w:pPr>
        <w:pStyle w:val="FirstParagraph"/>
      </w:pPr>
      <w:r>
        <w:t xml:space="preserve">Per Wall Street models heading into the print:</w:t>
      </w:r>
    </w:p>
    <w:p>
      <w:pPr>
        <w:pStyle w:val="Compact"/>
        <w:numPr>
          <w:ilvl w:val="0"/>
          <w:numId w:val="1002"/>
        </w:numPr>
      </w:pPr>
      <w:r>
        <w:rPr>
          <w:b/>
          <w:bCs/>
        </w:rPr>
        <w:t xml:space="preserve">EPS</w:t>
      </w:r>
      <w:r>
        <w:t xml:space="preserve">: consensus of</w:t>
      </w:r>
      <w:r>
        <w:t xml:space="preserve"> </w:t>
      </w:r>
      <w:r>
        <w:rPr>
          <w:b/>
          <w:bCs/>
        </w:rPr>
        <w:t xml:space="preserve">$0.59</w:t>
      </w:r>
      <w:r>
        <w:t xml:space="preserve">, up 43.9% from $0.41 a year ago.</w:t>
      </w:r>
    </w:p>
    <w:p>
      <w:pPr>
        <w:pStyle w:val="Compact"/>
        <w:numPr>
          <w:ilvl w:val="0"/>
          <w:numId w:val="1002"/>
        </w:numPr>
      </w:pPr>
      <w:r>
        <w:rPr>
          <w:b/>
          <w:bCs/>
        </w:rPr>
        <w:t xml:space="preserve">Revenue</w:t>
      </w:r>
      <w:r>
        <w:t xml:space="preserve">: consensus of roughly</w:t>
      </w:r>
      <w:r>
        <w:t xml:space="preserve"> </w:t>
      </w:r>
      <w:r>
        <w:rPr>
          <w:b/>
          <w:bCs/>
        </w:rPr>
        <w:t xml:space="preserve">$7.53 billion</w:t>
      </w:r>
      <w:r>
        <w:t xml:space="preserve">, up 7.5% y/y — a deceleration from the 16.3% growth posted in Q2 2025, partly reflecting the calendar/venue-mix shift toward Q3 that management flagged.</w:t>
      </w:r>
    </w:p>
    <w:p>
      <w:pPr>
        <w:pStyle w:val="Compact"/>
        <w:numPr>
          <w:ilvl w:val="0"/>
          <w:numId w:val="1002"/>
        </w:numPr>
      </w:pPr>
      <w:r>
        <w:rPr>
          <w:b/>
          <w:bCs/>
        </w:rPr>
        <w:t xml:space="preserve">Segment estimates</w:t>
      </w:r>
      <w:r>
        <w:t xml:space="preserve">: Sponsorship &amp; Advertising revenue projected around $385 million (vs. $340.6 million a year ago); Ticketing revenue around $775 million (vs.</w:t>
      </w:r>
      <w:r>
        <w:t xml:space="preserve"> </w:t>
      </w:r>
      <m:oMath>
        <m:r>
          <m:t>742.7</m:t>
        </m:r>
        <m:r>
          <m:t>m</m:t>
        </m:r>
        <m:r>
          <m:t>i</m:t>
        </m:r>
        <m:r>
          <m:t>l</m:t>
        </m:r>
        <m:r>
          <m:t>l</m:t>
        </m:r>
        <m:r>
          <m:t>i</m:t>
        </m:r>
        <m:r>
          <m:t>o</m:t>
        </m:r>
        <m:r>
          <m:t>n</m:t>
        </m:r>
        <m:r>
          <m:t>a</m:t>
        </m:r>
        <m:r>
          <m:t>y</m:t>
        </m:r>
        <m:r>
          <m:t>e</m:t>
        </m:r>
        <m:r>
          <m:t>a</m:t>
        </m:r>
        <m:r>
          <m:t>r</m:t>
        </m:r>
        <m:r>
          <m:t>a</m:t>
        </m:r>
        <m:r>
          <m:t>g</m:t>
        </m:r>
        <m:r>
          <m:t>o</m:t>
        </m:r>
        <m:r>
          <m:rPr>
            <m:sty m:val="p"/>
          </m:rPr>
          <m:t>)</m:t>
        </m:r>
        <m:r>
          <m:rPr>
            <m:sty m:val="p"/>
          </m:rPr>
          <m:t>,</m:t>
        </m:r>
        <m:r>
          <m:t>w</m:t>
        </m:r>
        <m:r>
          <m:t>i</m:t>
        </m:r>
        <m:r>
          <m:t>t</m:t>
        </m:r>
        <m:r>
          <m:t>h</m:t>
        </m:r>
        <m:r>
          <m:t>t</m:t>
        </m:r>
        <m:r>
          <m:t>h</m:t>
        </m:r>
        <m:r>
          <m:t>e</m:t>
        </m:r>
        <m:r>
          <m:t>b</m:t>
        </m:r>
        <m:r>
          <m:t>a</m:t>
        </m:r>
        <m:r>
          <m:t>l</m:t>
        </m:r>
        <m:r>
          <m:t>a</m:t>
        </m:r>
        <m:r>
          <m:t>n</m:t>
        </m:r>
        <m:r>
          <m:t>c</m:t>
        </m:r>
        <m:r>
          <m:t>e</m:t>
        </m:r>
        <m:r>
          <m:t>o</m:t>
        </m:r>
        <m:r>
          <m:t>f</m:t>
        </m:r>
        <m:r>
          <m:t>t</m:t>
        </m:r>
        <m:r>
          <m:t>h</m:t>
        </m:r>
        <m:r>
          <m:t>e</m:t>
        </m:r>
        <m:r>
          <m:t> </m:t>
        </m:r>
      </m:oMath>
      <w:r>
        <w:t xml:space="preserve">7.5B coming from Concerts.</w:t>
      </w:r>
    </w:p>
    <w:p>
      <w:pPr>
        <w:pStyle w:val="Compact"/>
        <w:numPr>
          <w:ilvl w:val="0"/>
          <w:numId w:val="1002"/>
        </w:numPr>
      </w:pPr>
      <w:r>
        <w:t xml:space="preserve">Live Nation's own track record here is mixed: it has beaten Zacks consensus EPS in only one of the last four quarters (missing by an average of ~29%), though revenue has more consistently topped estimates, including a 5.75% beat in Q1.</w:t>
      </w:r>
    </w:p>
    <w:p>
      <w:pPr>
        <w:pStyle w:val="FirstParagraph"/>
      </w:pPr>
      <w:r>
        <w:rPr>
          <w:b/>
          <w:bCs/>
        </w:rPr>
        <w:t xml:space="preserve">Watch for:</w:t>
      </w:r>
      <w:r>
        <w:t xml:space="preserve"> </w:t>
      </w:r>
      <w:r>
        <w:t xml:space="preserve">confirmation that Q3 (not Q2) is the real inflection point for Concerts/Venue Nation AOI, updated full-year guidance framing, whether ticketing legal/operational expenses are moderating as promised, and any incremental commentary on the mid-single-digit Ticketmaster AOI headwind from the secondary-market crackdown.</w:t>
      </w:r>
    </w:p>
    <w:bookmarkEnd w:id="11"/>
    <w:bookmarkStart w:id="12" w:name="X6d41a851dc88490956d22bb3d94f79b4521f78b"/>
    <w:p>
      <w:pPr>
        <w:pStyle w:val="Heading2"/>
      </w:pPr>
      <w:r>
        <w:t xml:space="preserve">The Elephant in the Room: Antitrust Litigation</w:t>
      </w:r>
    </w:p>
    <w:p>
      <w:pPr>
        <w:pStyle w:val="FirstParagraph"/>
      </w:pPr>
      <w:r>
        <w:t xml:space="preserve">This is arguably the single biggest swing factor for the stock right now, and it's coming to a head almost exactly around earnings:</w:t>
      </w:r>
    </w:p>
    <w:p>
      <w:pPr>
        <w:pStyle w:val="Compact"/>
        <w:numPr>
          <w:ilvl w:val="0"/>
          <w:numId w:val="1003"/>
        </w:numPr>
      </w:pPr>
      <w:r>
        <w:t xml:space="preserve">In April 2026, a federal jury found Live Nation/Ticketmaster liable on the states' antitrust claims, concluding the company had illegally monopolized the live events industry and overcharged consumers, with Judge Arun Subramanian left to determine the remedy, which the states have asked to include monetary damages and structural relief. The jury specifically found the defendants liable for $1.72 for each primary concert ticket sold tied to the anticompetitive conduct at issue.</w:t>
      </w:r>
    </w:p>
    <w:p>
      <w:pPr>
        <w:pStyle w:val="Compact"/>
        <w:numPr>
          <w:ilvl w:val="0"/>
          <w:numId w:val="1003"/>
        </w:numPr>
      </w:pPr>
      <w:r>
        <w:t xml:space="preserve">Separately, the DOJ itself had already reached its own settlement mid-trial — a $280 million settlement, a week into the trial — but that deal remains subject to Tunney Act review, and the non-settling states have pushed back hard, with reporting noting the states rejecting the DOJ's Live Nation settlement and pressing for discovery into White House talks.</w:t>
      </w:r>
    </w:p>
    <w:p>
      <w:pPr>
        <w:pStyle w:val="Compact"/>
        <w:numPr>
          <w:ilvl w:val="0"/>
          <w:numId w:val="1003"/>
        </w:numPr>
      </w:pPr>
      <w:r>
        <w:t xml:space="preserve">Live Nation is fighting the jury verdict itself: the company has asked the court to set aside the verdict or order a new trial, challenging the states' market definitions, tying evidence, expert testimony, and damages model. Notably, a hearing on Live Nation's post-trial motions was scheduled for Wednesday — i.e., the day immediately before this earnings report — with the outcome determining whether the jury's findings remain intact before the case moves toward remedies, including the states' anticipated request for structural changes that could include separating parts of the business.</w:t>
      </w:r>
    </w:p>
    <w:p>
      <w:pPr>
        <w:pStyle w:val="Compact"/>
        <w:numPr>
          <w:ilvl w:val="0"/>
          <w:numId w:val="1003"/>
        </w:numPr>
      </w:pPr>
      <w:r>
        <w:t xml:space="preserve">Separately, a judge had already set</w:t>
      </w:r>
      <w:r>
        <w:t xml:space="preserve"> </w:t>
      </w:r>
      <w:r>
        <w:rPr>
          <w:b/>
          <w:bCs/>
        </w:rPr>
        <w:t xml:space="preserve">July 30 — the actual earnings date — as a status/follow-up conference date</w:t>
      </w:r>
      <w:r>
        <w:t xml:space="preserve"> </w:t>
      </w:r>
      <w:r>
        <w:t xml:space="preserve">in the case, per May reporting on next steps in the litigation.</w:t>
      </w:r>
    </w:p>
    <w:p>
      <w:pPr>
        <w:pStyle w:val="FirstParagraph"/>
      </w:pPr>
      <w:r>
        <w:rPr>
          <w:b/>
          <w:bCs/>
        </w:rPr>
        <w:t xml:space="preserve">Why this matters for the print:</w:t>
      </w:r>
      <w:r>
        <w:t xml:space="preserve"> </w:t>
      </w:r>
      <w:r>
        <w:t xml:space="preserve">the $450 million Q1 legal accrual shows the litigation is already flowing through GAAP results, and additional reserves are plausible depending on how the post-trial motions and remedies phase unfold. Investors should expect management to face detailed questions on the call about (1) the outcome of this week's hearing, (2) the Tunney Act timeline (previously flagged for a hearing around September/October), and (3) how the company is thinking about potential structural remedies versus its "Venue Nation" capital-allocation strategy, which assumes continued vertical integration across venues, promotion, ticketing, and sponsorship.</w:t>
      </w:r>
    </w:p>
    <w:bookmarkEnd w:id="12"/>
    <w:bookmarkStart w:id="13" w:name="growth-drivers-to-track"/>
    <w:p>
      <w:pPr>
        <w:pStyle w:val="Heading2"/>
      </w:pPr>
      <w:r>
        <w:t xml:space="preserve">Growth Drivers to Track</w:t>
      </w:r>
    </w:p>
    <w:p>
      <w:pPr>
        <w:pStyle w:val="Compact"/>
        <w:numPr>
          <w:ilvl w:val="0"/>
          <w:numId w:val="1004"/>
        </w:numPr>
      </w:pPr>
      <w:r>
        <w:rPr>
          <w:b/>
          <w:bCs/>
        </w:rPr>
        <w:t xml:space="preserve">Global touring supply</w:t>
      </w:r>
      <w:r>
        <w:t xml:space="preserve">: Management has emphasized a secular growth story of more artists touring globally — Latin America, K-pop/Asia, and other markets — supporting an 11% increase in tickets sold to date (107 million) and over 85% of large-venue shows already booked for the year.</w:t>
      </w:r>
    </w:p>
    <w:p>
      <w:pPr>
        <w:pStyle w:val="Compact"/>
        <w:numPr>
          <w:ilvl w:val="0"/>
          <w:numId w:val="1004"/>
        </w:numPr>
      </w:pPr>
      <w:r>
        <w:rPr>
          <w:b/>
          <w:bCs/>
        </w:rPr>
        <w:t xml:space="preserve">Venue Nation expansion</w:t>
      </w:r>
      <w:r>
        <w:t xml:space="preserve">: Recent bolt-on acquisitions (Movistar Arena Santiago, Unipol Forum Milan, IMPACT Arena Bangkok) and premium hospitality rollouts (e.g., the "Vinyl Room" concept, with onsite spending at the Hollywood Palladium over $100 per fan, and up 30% per fan at Ziggo Dome in Amsterdam) are central to margin expansion over time. Fan-count growth guidance and new venue economics (targeting 20%+ IRRs) will likely get an update.</w:t>
      </w:r>
    </w:p>
    <w:p>
      <w:pPr>
        <w:pStyle w:val="Compact"/>
        <w:numPr>
          <w:ilvl w:val="0"/>
          <w:numId w:val="1004"/>
        </w:numPr>
      </w:pPr>
      <w:r>
        <w:rPr>
          <w:b/>
          <w:bCs/>
        </w:rPr>
        <w:t xml:space="preserve">Capital allocation / financing innovation</w:t>
      </w:r>
      <w:r>
        <w:t xml:space="preserve">: The company raised approximately €610 million in long-term debt at 5.5% through an investment grade financing vehicle backed by a portfolio of major venues in April, part of a "propco" strategy CFO Joe Berchtold has described to fund venue growth without over-levering the core ticketing/promotion business. Full-year capex guidance was $1.1–1.2 billion.</w:t>
      </w:r>
    </w:p>
    <w:bookmarkEnd w:id="13"/>
    <w:bookmarkStart w:id="14" w:name="sell-side-positioning-into-the-print"/>
    <w:p>
      <w:pPr>
        <w:pStyle w:val="Heading2"/>
      </w:pPr>
      <w:r>
        <w:t xml:space="preserve">Sell-Side Positioning Into the Print</w:t>
      </w:r>
    </w:p>
    <w:p>
      <w:pPr>
        <w:pStyle w:val="FirstParagraph"/>
      </w:pPr>
      <w:r>
        <w:t xml:space="preserve">Sentiment is split between fundamentals-driven bulls and valuation-conscious skeptics:</w:t>
      </w:r>
    </w:p>
    <w:p>
      <w:pPr>
        <w:pStyle w:val="Compact"/>
        <w:numPr>
          <w:ilvl w:val="0"/>
          <w:numId w:val="1005"/>
        </w:numPr>
      </w:pPr>
      <w:r>
        <w:rPr>
          <w:b/>
          <w:bCs/>
        </w:rPr>
        <w:t xml:space="preserve">Bulls</w:t>
      </w:r>
      <w:r>
        <w:t xml:space="preserve">: BTIG initiated coverage with a Buy and $215 target; Citizens raised its target to $215 (Market Outperform) on confidence in double-digit AOI growth; Oppenheimer raised its target to $200.</w:t>
      </w:r>
    </w:p>
    <w:p>
      <w:pPr>
        <w:pStyle w:val="Compact"/>
        <w:numPr>
          <w:ilvl w:val="0"/>
          <w:numId w:val="1005"/>
        </w:numPr>
      </w:pPr>
      <w:r>
        <w:rPr>
          <w:b/>
          <w:bCs/>
        </w:rPr>
        <w:t xml:space="preserve">Skeptics</w:t>
      </w:r>
      <w:r>
        <w:t xml:space="preserve">: Susquehanna downgraded the stock to Neutral with a</w:t>
      </w:r>
      <w:r>
        <w:t xml:space="preserve"> </w:t>
      </w:r>
      <m:oMath>
        <m:r>
          <m:t>186</m:t>
        </m:r>
        <m:r>
          <m:t>t</m:t>
        </m:r>
        <m:r>
          <m:t>a</m:t>
        </m:r>
        <m:r>
          <m:t>r</m:t>
        </m:r>
        <m:r>
          <m:t>g</m:t>
        </m:r>
        <m:r>
          <m:t>e</m:t>
        </m:r>
        <m:r>
          <m:t>t</m:t>
        </m:r>
        <m:r>
          <m:t>o</m:t>
        </m:r>
        <m:r>
          <m:t>n</m:t>
        </m:r>
        <m:r>
          <m:t>v</m:t>
        </m:r>
        <m:r>
          <m:t>a</m:t>
        </m:r>
        <m:r>
          <m:t>l</m:t>
        </m:r>
        <m:r>
          <m:t>u</m:t>
        </m:r>
        <m:r>
          <m:t>a</m:t>
        </m:r>
        <m:r>
          <m:t>t</m:t>
        </m:r>
        <m:r>
          <m:t>i</m:t>
        </m:r>
        <m:r>
          <m:t>o</m:t>
        </m:r>
        <m:r>
          <m:t>n</m:t>
        </m:r>
        <m:r>
          <m:t>c</m:t>
        </m:r>
        <m:r>
          <m:t>o</m:t>
        </m:r>
        <m:r>
          <m:t>n</m:t>
        </m:r>
        <m:r>
          <m:t>c</m:t>
        </m:r>
        <m:r>
          <m:t>e</m:t>
        </m:r>
        <m:r>
          <m:t>r</m:t>
        </m:r>
        <m:r>
          <m:t>n</m:t>
        </m:r>
        <m:r>
          <m:t>s</m:t>
        </m:r>
        <m:r>
          <m:t>d</m:t>
        </m:r>
        <m:r>
          <m:t>e</m:t>
        </m:r>
        <m:r>
          <m:t>s</m:t>
        </m:r>
        <m:r>
          <m:t>p</m:t>
        </m:r>
        <m:r>
          <m:t>i</m:t>
        </m:r>
        <m:r>
          <m:t>t</m:t>
        </m:r>
        <m:r>
          <m:t>e</m:t>
        </m:r>
        <m:r>
          <m:t>a</m:t>
        </m:r>
        <m:r>
          <m:t>c</m:t>
        </m:r>
        <m:r>
          <m:t>k</m:t>
        </m:r>
        <m:r>
          <m:t>n</m:t>
        </m:r>
        <m:r>
          <m:t>o</m:t>
        </m:r>
        <m:r>
          <m:t>w</m:t>
        </m:r>
        <m:r>
          <m:t>l</m:t>
        </m:r>
        <m:r>
          <m:t>e</m:t>
        </m:r>
        <m:r>
          <m:t>d</m:t>
        </m:r>
        <m:r>
          <m:t>g</m:t>
        </m:r>
        <m:r>
          <m:t>i</m:t>
        </m:r>
        <m:r>
          <m:t>n</m:t>
        </m:r>
        <m:r>
          <m:t>g</m:t>
        </m:r>
        <m:r>
          <m:t>a</m:t>
        </m:r>
        <m:r>
          <m:t>s</m:t>
        </m:r>
        <m:r>
          <m:t>t</m:t>
        </m:r>
        <m:r>
          <m:t>r</m:t>
        </m:r>
        <m:r>
          <m:t>o</m:t>
        </m:r>
        <m:r>
          <m:t>n</m:t>
        </m:r>
        <m:r>
          <m:t>g</m:t>
        </m:r>
        <m:r>
          <m:t>c</m:t>
        </m:r>
        <m:r>
          <m:t>o</m:t>
        </m:r>
        <m:r>
          <m:t>n</m:t>
        </m:r>
        <m:r>
          <m:t>c</m:t>
        </m:r>
        <m:r>
          <m:t>e</m:t>
        </m:r>
        <m:r>
          <m:t>r</m:t>
        </m:r>
        <m:r>
          <m:t>t</m:t>
        </m:r>
        <m:r>
          <m:rPr>
            <m:sty m:val="p"/>
          </m:rPr>
          <m:t>−</m:t>
        </m:r>
        <m:r>
          <m:t>s</m:t>
        </m:r>
        <m:r>
          <m:t>e</m:t>
        </m:r>
        <m:r>
          <m:t>a</m:t>
        </m:r>
        <m:r>
          <m:t>s</m:t>
        </m:r>
        <m:r>
          <m:t>o</m:t>
        </m:r>
        <m:r>
          <m:t>n</m:t>
        </m:r>
        <m:r>
          <m:t>s</m:t>
        </m:r>
        <m:r>
          <m:t>e</m:t>
        </m:r>
        <m:r>
          <m:t>t</m:t>
        </m:r>
        <m:r>
          <m:t>u</m:t>
        </m:r>
        <m:r>
          <m:t>p</m:t>
        </m:r>
        <m:r>
          <m:rPr>
            <m:sty m:val="p"/>
          </m:rPr>
          <m:t>.</m:t>
        </m:r>
        <m:r>
          <m:t>C</m:t>
        </m:r>
        <m:r>
          <m:t>o</m:t>
        </m:r>
        <m:r>
          <m:t>n</m:t>
        </m:r>
        <m:r>
          <m:t>s</m:t>
        </m:r>
        <m:r>
          <m:t>e</m:t>
        </m:r>
        <m:r>
          <m:t>n</m:t>
        </m:r>
        <m:r>
          <m:t>s</m:t>
        </m:r>
        <m:r>
          <m:t>u</m:t>
        </m:r>
        <m:r>
          <m:t>s</m:t>
        </m:r>
        <m:r>
          <m:t>a</m:t>
        </m:r>
        <m:r>
          <m:t>v</m:t>
        </m:r>
        <m:r>
          <m:t>e</m:t>
        </m:r>
        <m:r>
          <m:t>r</m:t>
        </m:r>
        <m:r>
          <m:t>a</m:t>
        </m:r>
        <m:r>
          <m:t>g</m:t>
        </m:r>
        <m:r>
          <m:t>e</m:t>
        </m:r>
        <m:r>
          <m:t>p</m:t>
        </m:r>
        <m:r>
          <m:t>r</m:t>
        </m:r>
        <m:r>
          <m:t>i</m:t>
        </m:r>
        <m:r>
          <m:t>c</m:t>
        </m:r>
        <m:r>
          <m:t>e</m:t>
        </m:r>
        <m:r>
          <m:t>t</m:t>
        </m:r>
        <m:r>
          <m:t>a</m:t>
        </m:r>
        <m:r>
          <m:t>r</m:t>
        </m:r>
        <m:r>
          <m:t>g</m:t>
        </m:r>
        <m:r>
          <m:t>e</m:t>
        </m:r>
        <m:r>
          <m:t>t</m:t>
        </m:r>
        <m:r>
          <m:t>s</m:t>
        </m:r>
        <m:r>
          <m:t>a</m:t>
        </m:r>
        <m:r>
          <m:t>c</m:t>
        </m:r>
        <m:r>
          <m:t>r</m:t>
        </m:r>
        <m:r>
          <m:t>o</m:t>
        </m:r>
        <m:r>
          <m:t>s</m:t>
        </m:r>
        <m:r>
          <m:t>s</m:t>
        </m:r>
        <m:r>
          <m:t>t</m:t>
        </m:r>
        <m:r>
          <m:t>h</m:t>
        </m:r>
        <m:r>
          <m:t>e</m:t>
        </m:r>
        <m:r>
          <m:t>s</m:t>
        </m:r>
        <m:r>
          <m:t>e</m:t>
        </m:r>
        <m:r>
          <m:t>l</m:t>
        </m:r>
        <m:r>
          <m:t>l</m:t>
        </m:r>
        <m:r>
          <m:rPr>
            <m:sty m:val="p"/>
          </m:rPr>
          <m:t>−</m:t>
        </m:r>
        <m:r>
          <m:t>s</m:t>
        </m:r>
        <m:r>
          <m:t>i</m:t>
        </m:r>
        <m:r>
          <m:t>d</m:t>
        </m:r>
        <m:r>
          <m:t>e</m:t>
        </m:r>
        <m:r>
          <m:t>c</m:t>
        </m:r>
        <m:r>
          <m:t>l</m:t>
        </m:r>
        <m:r>
          <m:t>u</m:t>
        </m:r>
        <m:r>
          <m:t>s</m:t>
        </m:r>
        <m:r>
          <m:t>t</m:t>
        </m:r>
        <m:r>
          <m:t>e</m:t>
        </m:r>
        <m:r>
          <m:t>r</m:t>
        </m:r>
        <m:r>
          <m:t>i</m:t>
        </m:r>
        <m:r>
          <m:t>n</m:t>
        </m:r>
        <m:r>
          <m:t>t</m:t>
        </m:r>
        <m:r>
          <m:t>h</m:t>
        </m:r>
        <m:r>
          <m:t>e</m:t>
        </m:r>
        <m:r>
          <m:t>m</m:t>
        </m:r>
        <m:r>
          <m:t>i</m:t>
        </m:r>
        <m:r>
          <m:t>d</m:t>
        </m:r>
        <m:r>
          <m:rPr>
            <m:sty m:val="p"/>
          </m:rPr>
          <m:t>−</m:t>
        </m:r>
      </m:oMath>
      <w:r>
        <w:t xml:space="preserve">180s to high-$180s — i.e., roughly in line with or modestly below the current share price, suggesting the market has already priced in a good deal of optimism.</w:t>
      </w:r>
    </w:p>
    <w:bookmarkEnd w:id="14"/>
    <w:bookmarkStart w:id="15" w:name="bottom-line-for-investors"/>
    <w:p>
      <w:pPr>
        <w:pStyle w:val="Heading2"/>
      </w:pPr>
      <w:r>
        <w:t xml:space="preserve">Bottom Line for Investors</w:t>
      </w:r>
    </w:p>
    <w:p>
      <w:pPr>
        <w:pStyle w:val="FirstParagraph"/>
      </w:pPr>
      <w:r>
        <w:t xml:space="preserve">Heading into Thursday's print, the operational algorithm at Live Nation looks intact — strong global touring supply, record deferred revenue, and a Venue Nation strategy that's scaling — but Q2 itself is likely to be a "in-line, not spectacular" quarter by design, given management's own guidance that the real seasonal AOI inflection lands in Q3 and Q4. The two swing factors that could matter more than the headline EPS/revenue print are: (1) any incremental disclosure on the antitrust remedies process, which is unfolding almost in real time around this earnings date and carries tail risk of structural remedies or further legal accruals, and (2) confirmation that the ticketing segment's margin and legal-expense headwinds are moderating as promised. Given the stock's strong run-up and the market's own recognition of a Zacks "Strong Sell" quant rank alongside a large positive Earnings ESP, there's a real possibility of a volatile reaction regardless of which way the numbers land.</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2026-07-29T19:36:51Z</dcterms:created>
  <dcterms:modified xsi:type="dcterms:W3CDTF">2026-07-29T19:36:51Z</dcterms:modified>
</cp:coreProperties>
</file>

<file path=docProps/custom.xml><?xml version="1.0" encoding="utf-8"?>
<Properties xmlns="http://schemas.openxmlformats.org/officeDocument/2006/custom-properties" xmlns:vt="http://schemas.openxmlformats.org/officeDocument/2006/docPropsVTypes"/>
</file>