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yv-earnings-predictions--2026-07-30"/>
    <w:p>
      <w:pPr>
        <w:pStyle w:val="Heading1"/>
      </w:pPr>
      <w:r>
        <w:t xml:space="preserve">LYV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~$7.70B vs. cons $7.58B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Consolidated adjusted operating income (AOI)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~$842M vs. cons $827M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Concert attendance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~46.6M fans vs. cons 46.0M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Consolidated AOI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~11.0% vs. cons 11.2%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Concert attendance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~8.0% vs. cons 8.0%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Ticketing AOI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~2.0% vs. cons 3.0%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+1.6% (FADE)</w:t>
            </w:r>
          </w:p>
        </w:tc>
        <w:tc>
          <w:tcPr/>
          <w:p>
            <w:pPr>
              <w:pStyle w:val="Compact"/>
            </w:pPr>
            <w:r>
              <w:t xml:space="preserve">The initial reaction should reward an AOI beat of ~1.8% versus consensus, but FY2026 consolidated AOI growth of ~11.0% versus 11.2% consensus implies limited estimate revisions; unchanged back-half expectations and Ticketing pressure should cause part of the day-1 gain to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2026-07-29T19:24:52Z</dcterms:created>
  <dcterms:modified xsi:type="dcterms:W3CDTF">2026-07-29T19:24:52Z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