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843eaf460a85b7dac485c0d1ad47b9751c2e125"/>
    <w:p>
      <w:pPr>
        <w:pStyle w:val="Heading1"/>
      </w:pPr>
      <w:r>
        <w:t xml:space="preserve">Live Nation Entertainment (NYSE: LYV) — Q2 2026 Earnings Preview</w:t>
      </w:r>
    </w:p>
    <w:p>
      <w:pPr>
        <w:pStyle w:val="FirstParagraph"/>
      </w:pPr>
      <w:r>
        <w:rPr>
          <w:b/>
          <w:bCs/>
        </w:rPr>
        <w:t xml:space="preserve">Report:</w:t>
      </w:r>
      <w:r>
        <w:t xml:space="preserve"> </w:t>
      </w:r>
      <w:r>
        <w:t xml:space="preserve">Thursday, July 30, 2026, after market close</w:t>
      </w:r>
      <w:r>
        <w:br/>
      </w:r>
      <w:r>
        <w:rPr>
          <w:b/>
          <w:bCs/>
        </w:rPr>
        <w:t xml:space="preserve">Conference call:</w:t>
      </w:r>
      <w:r>
        <w:t xml:space="preserve"> </w:t>
      </w:r>
      <w:r>
        <w:t xml:space="preserve">5:00 p.m. ET</w:t>
      </w:r>
      <w:r>
        <w:br/>
      </w:r>
      <w:r>
        <w:rPr>
          <w:b/>
          <w:bCs/>
        </w:rPr>
        <w:t xml:space="preserve">Share price on July 29:</w:t>
      </w:r>
      <w:r>
        <w:t xml:space="preserve"> </w:t>
      </w:r>
      <w:r>
        <w:t xml:space="preserve">$182.97, up approximately</w:t>
      </w:r>
      <w:r>
        <w:t xml:space="preserve"> </w:t>
      </w:r>
      <w:r>
        <w:rPr>
          <w:b/>
          <w:bCs/>
        </w:rPr>
        <w:t xml:space="preserve">26% year to date</w:t>
      </w:r>
    </w:p>
    <w:bookmarkStart w:id="9" w:name="investment-setup"/>
    <w:p>
      <w:pPr>
        <w:pStyle w:val="Heading2"/>
      </w:pPr>
      <w:r>
        <w:t xml:space="preserve">Investment setup</w:t>
      </w:r>
    </w:p>
    <w:p>
      <w:pPr>
        <w:pStyle w:val="FirstParagraph"/>
      </w:pPr>
      <w:r>
        <w:t xml:space="preserve">Live Nation enters earnings with strong operating momentum—and a relatively demanding setup.</w:t>
      </w:r>
    </w:p>
    <w:p>
      <w:pPr>
        <w:pStyle w:val="BodyText"/>
      </w:pPr>
      <w:r>
        <w:t xml:space="preserve">First-quarter indicators were broadly constructive: tickets sold for 2026 concerts were up double digits, deferred revenue reached a record, sponsorship commitments were growing, and management reaffirmed its expectation for</w:t>
      </w:r>
      <w:r>
        <w:t xml:space="preserve"> </w:t>
      </w:r>
      <w:r>
        <w:rPr>
          <w:b/>
          <w:bCs/>
        </w:rPr>
        <w:t xml:space="preserve">double-digit consolidated adjusted operating income growth in 2026</w:t>
      </w:r>
      <w:r>
        <w:t xml:space="preserve">. The company also said it was seeing no meaningful weakening in fan demand by geography, venue type, genre, or price point.</w:t>
      </w:r>
    </w:p>
    <w:p>
      <w:pPr>
        <w:pStyle w:val="BodyText"/>
      </w:pPr>
      <w:r>
        <w:t xml:space="preserve">However, investors should not expect Q2 to capture the full strength of Live Nation’s 2026 calendar. Management explicitly said this year’s growth is unusually weighted toward the second half:</w:t>
      </w:r>
    </w:p>
    <w:p>
      <w:pPr>
        <w:pStyle w:val="Compact"/>
        <w:numPr>
          <w:ilvl w:val="0"/>
          <w:numId w:val="1001"/>
        </w:numPr>
      </w:pPr>
      <w:r>
        <w:t xml:space="preserve">Third-party arenas were expected to drive most Q2 attendance growth.</w:t>
      </w:r>
    </w:p>
    <w:p>
      <w:pPr>
        <w:pStyle w:val="Compact"/>
        <w:numPr>
          <w:ilvl w:val="0"/>
          <w:numId w:val="1001"/>
        </w:numPr>
      </w:pPr>
      <w:r>
        <w:t xml:space="preserve">Approximately</w:t>
      </w:r>
      <w:r>
        <w:t xml:space="preserve"> </w:t>
      </w:r>
      <w:r>
        <w:rPr>
          <w:b/>
          <w:bCs/>
        </w:rPr>
        <w:t xml:space="preserve">70% of amphitheater fan growth</w:t>
      </w:r>
      <w:r>
        <w:t xml:space="preserve"> </w:t>
      </w:r>
      <w:r>
        <w:t xml:space="preserve">was expected in Q3.</w:t>
      </w:r>
    </w:p>
    <w:p>
      <w:pPr>
        <w:pStyle w:val="Compact"/>
        <w:numPr>
          <w:ilvl w:val="0"/>
          <w:numId w:val="1001"/>
        </w:numPr>
      </w:pPr>
      <w:r>
        <w:rPr>
          <w:b/>
          <w:bCs/>
        </w:rPr>
        <w:t xml:space="preserve">All stadium attendance growth</w:t>
      </w:r>
      <w:r>
        <w:t xml:space="preserve"> </w:t>
      </w:r>
      <w:r>
        <w:t xml:space="preserve">was expected in the second half.</w:t>
      </w:r>
    </w:p>
    <w:p>
      <w:pPr>
        <w:pStyle w:val="Compact"/>
        <w:numPr>
          <w:ilvl w:val="0"/>
          <w:numId w:val="1001"/>
        </w:numPr>
      </w:pPr>
      <w:r>
        <w:t xml:space="preserve">Management characterized Q3 as particularly strong and also pointed to a strong Q4.</w:t>
      </w:r>
    </w:p>
    <w:p>
      <w:pPr>
        <w:pStyle w:val="FirstParagraph"/>
      </w:pPr>
      <w:r>
        <w:t xml:space="preserve">That makes this report primarily a test of whether the summer pipeline remains intact—not necessarily a test of peak earnings growth.</w:t>
      </w:r>
    </w:p>
    <w:p>
      <w:pPr>
        <w:pStyle w:val="BodyText"/>
      </w:pPr>
      <w:r>
        <w:t xml:space="preserve">The other major issue is legal and regulatory risk. Q1 included a</w:t>
      </w:r>
      <w:r>
        <w:t xml:space="preserve"> </w:t>
      </w:r>
      <w:r>
        <w:rPr>
          <w:b/>
          <w:bCs/>
        </w:rPr>
        <w:t xml:space="preserve">$450 million accrual</w:t>
      </w:r>
      <w:r>
        <w:t xml:space="preserve"> </w:t>
      </w:r>
      <w:r>
        <w:t xml:space="preserve">related to government investigations and litigation. The market will want greater clarity on whether that provision is likely to cover the eventual monetary outcome and, more importantly, whether court-imposed remedies could materially affect Ticketmaster or Live Nation’s venue economics.</w:t>
      </w:r>
    </w:p>
    <w:bookmarkEnd w:id="9"/>
    <w:bookmarkStart w:id="10" w:name="the-q2-comparison"/>
    <w:p>
      <w:pPr>
        <w:pStyle w:val="Heading2"/>
      </w:pPr>
      <w:r>
        <w:t xml:space="preserve">The Q2 comparison</w:t>
      </w:r>
    </w:p>
    <w:p>
      <w:pPr>
        <w:pStyle w:val="FirstParagraph"/>
      </w:pPr>
      <w:r>
        <w:t xml:space="preserve">Live Nation faces a substantial prior-year benchmark:</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Q2 2025 result</w:t>
            </w:r>
          </w:p>
        </w:tc>
        <w:tc>
          <w:tcPr/>
          <w:p>
            <w:pPr>
              <w:pStyle w:val="Compact"/>
              <w:jc w:val="right"/>
            </w:pPr>
            <w:r>
              <w:t xml:space="preserve">Amount</w:t>
            </w:r>
          </w:p>
        </w:tc>
        <w:tc>
          <w:tcPr/>
          <w:p>
            <w:pPr>
              <w:pStyle w:val="Compact"/>
              <w:jc w:val="right"/>
            </w:pPr>
            <w:r>
              <w:t xml:space="preserve">Year-over-year growth</w:t>
            </w:r>
          </w:p>
        </w:tc>
      </w:tr>
      <w:tr>
        <w:tc>
          <w:tcPr/>
          <w:p>
            <w:pPr>
              <w:pStyle w:val="Compact"/>
            </w:pPr>
            <w:r>
              <w:t xml:space="preserve">Revenue</w:t>
            </w:r>
          </w:p>
        </w:tc>
        <w:tc>
          <w:tcPr/>
          <w:p>
            <w:pPr>
              <w:pStyle w:val="Compact"/>
              <w:jc w:val="right"/>
            </w:pPr>
            <w:r>
              <w:t xml:space="preserve">$7.01B</w:t>
            </w:r>
          </w:p>
        </w:tc>
        <w:tc>
          <w:tcPr/>
          <w:p>
            <w:pPr>
              <w:pStyle w:val="Compact"/>
              <w:jc w:val="right"/>
            </w:pPr>
            <w:r>
              <w:t xml:space="preserve">16%</w:t>
            </w:r>
          </w:p>
        </w:tc>
      </w:tr>
      <w:tr>
        <w:tc>
          <w:tcPr/>
          <w:p>
            <w:pPr>
              <w:pStyle w:val="Compact"/>
            </w:pPr>
            <w:r>
              <w:t xml:space="preserve">Consolidated AOI</w:t>
            </w:r>
          </w:p>
        </w:tc>
        <w:tc>
          <w:tcPr/>
          <w:p>
            <w:pPr>
              <w:pStyle w:val="Compact"/>
              <w:jc w:val="right"/>
            </w:pPr>
            <w:r>
              <w:t xml:space="preserve">$798M</w:t>
            </w:r>
          </w:p>
        </w:tc>
        <w:tc>
          <w:tcPr/>
          <w:p>
            <w:pPr>
              <w:pStyle w:val="Compact"/>
              <w:jc w:val="right"/>
            </w:pPr>
            <w:r>
              <w:t xml:space="preserve">11%</w:t>
            </w:r>
          </w:p>
        </w:tc>
      </w:tr>
      <w:tr>
        <w:tc>
          <w:tcPr/>
          <w:p>
            <w:pPr>
              <w:pStyle w:val="Compact"/>
            </w:pPr>
            <w:r>
              <w:t xml:space="preserve">Concerts revenue</w:t>
            </w:r>
          </w:p>
        </w:tc>
        <w:tc>
          <w:tcPr/>
          <w:p>
            <w:pPr>
              <w:pStyle w:val="Compact"/>
              <w:jc w:val="right"/>
            </w:pPr>
            <w:r>
              <w:t xml:space="preserve">$5.95B</w:t>
            </w:r>
          </w:p>
        </w:tc>
        <w:tc>
          <w:tcPr/>
          <w:p>
            <w:pPr>
              <w:pStyle w:val="Compact"/>
              <w:jc w:val="right"/>
            </w:pPr>
            <w:r>
              <w:t xml:space="preserve">19%</w:t>
            </w:r>
          </w:p>
        </w:tc>
      </w:tr>
      <w:tr>
        <w:tc>
          <w:tcPr/>
          <w:p>
            <w:pPr>
              <w:pStyle w:val="Compact"/>
            </w:pPr>
            <w:r>
              <w:t xml:space="preserve">Concerts AOI</w:t>
            </w:r>
          </w:p>
        </w:tc>
        <w:tc>
          <w:tcPr/>
          <w:p>
            <w:pPr>
              <w:pStyle w:val="Compact"/>
              <w:jc w:val="right"/>
            </w:pPr>
            <w:r>
              <w:t xml:space="preserve">$359M</w:t>
            </w:r>
          </w:p>
        </w:tc>
        <w:tc>
          <w:tcPr/>
          <w:p>
            <w:pPr>
              <w:pStyle w:val="Compact"/>
              <w:jc w:val="right"/>
            </w:pPr>
            <w:r>
              <w:t xml:space="preserve">33%</w:t>
            </w:r>
          </w:p>
        </w:tc>
      </w:tr>
      <w:tr>
        <w:tc>
          <w:tcPr/>
          <w:p>
            <w:pPr>
              <w:pStyle w:val="Compact"/>
            </w:pPr>
            <w:r>
              <w:t xml:space="preserve">Ticketing revenue</w:t>
            </w:r>
          </w:p>
        </w:tc>
        <w:tc>
          <w:tcPr/>
          <w:p>
            <w:pPr>
              <w:pStyle w:val="Compact"/>
              <w:jc w:val="right"/>
            </w:pPr>
            <w:r>
              <w:t xml:space="preserve">$743M</w:t>
            </w:r>
          </w:p>
        </w:tc>
        <w:tc>
          <w:tcPr/>
          <w:p>
            <w:pPr>
              <w:pStyle w:val="Compact"/>
              <w:jc w:val="right"/>
            </w:pPr>
            <w:r>
              <w:t xml:space="preserve">2%</w:t>
            </w:r>
          </w:p>
        </w:tc>
      </w:tr>
      <w:tr>
        <w:tc>
          <w:tcPr/>
          <w:p>
            <w:pPr>
              <w:pStyle w:val="Compact"/>
            </w:pPr>
            <w:r>
              <w:t xml:space="preserve">Ticketing AOI</w:t>
            </w:r>
          </w:p>
        </w:tc>
        <w:tc>
          <w:tcPr/>
          <w:p>
            <w:pPr>
              <w:pStyle w:val="Compact"/>
              <w:jc w:val="right"/>
            </w:pPr>
            <w:r>
              <w:t xml:space="preserve">$290M</w:t>
            </w:r>
          </w:p>
        </w:tc>
        <w:tc>
          <w:tcPr/>
          <w:p>
            <w:pPr>
              <w:pStyle w:val="Compact"/>
              <w:jc w:val="right"/>
            </w:pPr>
            <w:r>
              <w:t xml:space="preserve">Approximately flat</w:t>
            </w:r>
          </w:p>
        </w:tc>
      </w:tr>
      <w:tr>
        <w:tc>
          <w:tcPr/>
          <w:p>
            <w:pPr>
              <w:pStyle w:val="Compact"/>
            </w:pPr>
            <w:r>
              <w:t xml:space="preserve">Sponsorship revenue</w:t>
            </w:r>
          </w:p>
        </w:tc>
        <w:tc>
          <w:tcPr/>
          <w:p>
            <w:pPr>
              <w:pStyle w:val="Compact"/>
              <w:jc w:val="right"/>
            </w:pPr>
            <w:r>
              <w:t xml:space="preserve">$341M</w:t>
            </w:r>
          </w:p>
        </w:tc>
        <w:tc>
          <w:tcPr/>
          <w:p>
            <w:pPr>
              <w:pStyle w:val="Compact"/>
              <w:jc w:val="right"/>
            </w:pPr>
            <w:r>
              <w:t xml:space="preserve">9%</w:t>
            </w:r>
          </w:p>
        </w:tc>
      </w:tr>
      <w:tr>
        <w:tc>
          <w:tcPr/>
          <w:p>
            <w:pPr>
              <w:pStyle w:val="Compact"/>
            </w:pPr>
            <w:r>
              <w:t xml:space="preserve">Sponsorship AOI</w:t>
            </w:r>
          </w:p>
        </w:tc>
        <w:tc>
          <w:tcPr/>
          <w:p>
            <w:pPr>
              <w:pStyle w:val="Compact"/>
              <w:jc w:val="right"/>
            </w:pPr>
            <w:r>
              <w:t xml:space="preserve">$228M</w:t>
            </w:r>
          </w:p>
        </w:tc>
        <w:tc>
          <w:tcPr/>
          <w:p>
            <w:pPr>
              <w:pStyle w:val="Compact"/>
              <w:jc w:val="right"/>
            </w:pPr>
            <w:r>
              <w:t xml:space="preserve">2%</w:t>
            </w:r>
          </w:p>
        </w:tc>
      </w:tr>
      <w:tr>
        <w:tc>
          <w:tcPr/>
          <w:p>
            <w:pPr>
              <w:pStyle w:val="Compact"/>
            </w:pPr>
            <w:r>
              <w:t xml:space="preserve">Concert attendance</w:t>
            </w:r>
          </w:p>
        </w:tc>
        <w:tc>
          <w:tcPr/>
          <w:p>
            <w:pPr>
              <w:pStyle w:val="Compact"/>
              <w:jc w:val="right"/>
            </w:pPr>
            <w:r>
              <w:t xml:space="preserve">44M</w:t>
            </w:r>
          </w:p>
        </w:tc>
        <w:tc>
          <w:tcPr/>
          <w:p>
            <w:pPr>
              <w:pStyle w:val="Compact"/>
              <w:jc w:val="right"/>
            </w:pPr>
            <w:r>
              <w:t xml:space="preserve">14%</w:t>
            </w:r>
          </w:p>
        </w:tc>
      </w:tr>
      <w:tr>
        <w:tc>
          <w:tcPr/>
          <w:p>
            <w:pPr>
              <w:pStyle w:val="Compact"/>
            </w:pPr>
            <w:r>
              <w:t xml:space="preserve">Fee-bearing tickets</w:t>
            </w:r>
          </w:p>
        </w:tc>
        <w:tc>
          <w:tcPr/>
          <w:p>
            <w:pPr>
              <w:pStyle w:val="Compact"/>
              <w:jc w:val="right"/>
            </w:pPr>
            <w:r>
              <w:t xml:space="preserve">83M</w:t>
            </w:r>
          </w:p>
        </w:tc>
        <w:tc>
          <w:tcPr/>
          <w:p>
            <w:pPr>
              <w:pStyle w:val="Compact"/>
              <w:jc w:val="right"/>
            </w:pPr>
            <w:r>
              <w:t xml:space="preserve">4%</w:t>
            </w:r>
          </w:p>
        </w:tc>
      </w:tr>
    </w:tbl>
    <w:p>
      <w:pPr>
        <w:pStyle w:val="BodyText"/>
      </w:pPr>
      <w:r>
        <w:t xml:space="preserve">The most difficult comparison is in</w:t>
      </w:r>
      <w:r>
        <w:t xml:space="preserve"> </w:t>
      </w:r>
      <w:r>
        <w:rPr>
          <w:b/>
          <w:bCs/>
        </w:rPr>
        <w:t xml:space="preserve">Concerts</w:t>
      </w:r>
      <w:r>
        <w:t xml:space="preserve">, where Q2 2025 benefited from sharply higher stadium attendance and record profitability. Q2 2026 can still be healthy without repeating last year’s 33% Concerts AOI growth, especially given the calendar shift toward Q3.</w:t>
      </w:r>
    </w:p>
    <w:p>
      <w:pPr>
        <w:pStyle w:val="BodyText"/>
      </w:pPr>
      <w:r>
        <w:t xml:space="preserve">Because Live Nation’s GAAP earnings can be distorted by litigation charges, acquisition expenses, redeemable noncontrolling-interest accretion, and other below-the-line items,</w:t>
      </w:r>
      <w:r>
        <w:t xml:space="preserve"> </w:t>
      </w:r>
      <w:r>
        <w:rPr>
          <w:b/>
          <w:bCs/>
        </w:rPr>
        <w:t xml:space="preserve">AOI, segment margins, deferred revenue, attendance and ticket volumes are likely to be more useful than headline EPS</w:t>
      </w:r>
      <w:r>
        <w:t xml:space="preserve">.</w:t>
      </w:r>
    </w:p>
    <w:bookmarkEnd w:id="10"/>
    <w:bookmarkStart w:id="18" w:name="what-matters-most"/>
    <w:p>
      <w:pPr>
        <w:pStyle w:val="Heading2"/>
      </w:pPr>
      <w:r>
        <w:t xml:space="preserve">What matters most</w:t>
      </w:r>
    </w:p>
    <w:bookmarkStart w:id="11" w:name="X976903b324ace762cf9188c60b72865a120b4ad"/>
    <w:p>
      <w:pPr>
        <w:pStyle w:val="Heading3"/>
      </w:pPr>
      <w:r>
        <w:t xml:space="preserve">1. Does the full-year AOI outlook survive intact?</w:t>
      </w:r>
    </w:p>
    <w:p>
      <w:pPr>
        <w:pStyle w:val="FirstParagraph"/>
      </w:pPr>
      <w:r>
        <w:t xml:space="preserve">Management’s key financial commitment is double-digit consolidated AOI growth for 2026. The most important outcome would be a clear reaffirmation—or strengthening—of that outlook.</w:t>
      </w:r>
    </w:p>
    <w:p>
      <w:pPr>
        <w:pStyle w:val="BodyText"/>
      </w:pPr>
      <w:r>
        <w:t xml:space="preserve">A satisfactory report would include:</w:t>
      </w:r>
    </w:p>
    <w:p>
      <w:pPr>
        <w:pStyle w:val="Compact"/>
        <w:numPr>
          <w:ilvl w:val="0"/>
          <w:numId w:val="1002"/>
        </w:numPr>
      </w:pPr>
      <w:r>
        <w:t xml:space="preserve">Continued expectations for double-digit Concerts AOI growth.</w:t>
      </w:r>
    </w:p>
    <w:p>
      <w:pPr>
        <w:pStyle w:val="Compact"/>
        <w:numPr>
          <w:ilvl w:val="0"/>
          <w:numId w:val="1002"/>
        </w:numPr>
      </w:pPr>
      <w:r>
        <w:t xml:space="preserve">Full-year Concerts margins at least building on 2025.</w:t>
      </w:r>
    </w:p>
    <w:p>
      <w:pPr>
        <w:pStyle w:val="Compact"/>
        <w:numPr>
          <w:ilvl w:val="0"/>
          <w:numId w:val="1002"/>
        </w:numPr>
      </w:pPr>
      <w:r>
        <w:t xml:space="preserve">Double-digit Sponsorship AOI growth.</w:t>
      </w:r>
    </w:p>
    <w:p>
      <w:pPr>
        <w:pStyle w:val="Compact"/>
        <w:numPr>
          <w:ilvl w:val="0"/>
          <w:numId w:val="1002"/>
        </w:numPr>
      </w:pPr>
      <w:r>
        <w:t xml:space="preserve">Ticketmaster overcoming its deliberate secondary-ticketing headwind.</w:t>
      </w:r>
    </w:p>
    <w:p>
      <w:pPr>
        <w:pStyle w:val="Compact"/>
        <w:numPr>
          <w:ilvl w:val="0"/>
          <w:numId w:val="1002"/>
        </w:numPr>
      </w:pPr>
      <w:r>
        <w:t xml:space="preserve">Confidence that Q3’s stadium and amphitheater calendar will convert into earnings as planned.</w:t>
      </w:r>
    </w:p>
    <w:p>
      <w:pPr>
        <w:pStyle w:val="FirstParagraph"/>
      </w:pPr>
      <w:r>
        <w:t xml:space="preserve">Given the second-half weighting, an only modest Q2 AOI increase would not necessarily be concerning if deferred revenue, bookings and attendance guidance remain strong. Conversely, a respectable Q2 beat accompanied by softer summer indicators would be less reassuring.</w:t>
      </w:r>
    </w:p>
    <w:bookmarkEnd w:id="11"/>
    <w:bookmarkStart w:id="12" w:name="Xc9b0e66978e73588563c679faa891a30a250873"/>
    <w:p>
      <w:pPr>
        <w:pStyle w:val="Heading3"/>
      </w:pPr>
      <w:r>
        <w:t xml:space="preserve">2. Concerts: supply, attendance and sell-through</w:t>
      </w:r>
    </w:p>
    <w:p>
      <w:pPr>
        <w:pStyle w:val="FirstParagraph"/>
      </w:pPr>
      <w:r>
        <w:t xml:space="preserve">At the end of April, Live Nation had:</w:t>
      </w:r>
    </w:p>
    <w:p>
      <w:pPr>
        <w:pStyle w:val="Compact"/>
        <w:numPr>
          <w:ilvl w:val="0"/>
          <w:numId w:val="1003"/>
        </w:numPr>
      </w:pPr>
      <w:r>
        <w:t xml:space="preserve">Booked more than 85% of its expected 2026 large-venue shows.</w:t>
      </w:r>
    </w:p>
    <w:p>
      <w:pPr>
        <w:pStyle w:val="Compact"/>
        <w:numPr>
          <w:ilvl w:val="0"/>
          <w:numId w:val="1003"/>
        </w:numPr>
      </w:pPr>
      <w:r>
        <w:t xml:space="preserve">Sold more than 107 million tickets for 2026 Live Nation concerts, up 11%.</w:t>
      </w:r>
    </w:p>
    <w:p>
      <w:pPr>
        <w:pStyle w:val="Compact"/>
        <w:numPr>
          <w:ilvl w:val="0"/>
          <w:numId w:val="1003"/>
        </w:numPr>
      </w:pPr>
      <w:r>
        <w:t xml:space="preserve">Seen double-digit ticket growth across stadiums, arenas, amphitheaters and festivals.</w:t>
      </w:r>
    </w:p>
    <w:p>
      <w:pPr>
        <w:pStyle w:val="Compact"/>
        <w:numPr>
          <w:ilvl w:val="0"/>
          <w:numId w:val="1003"/>
        </w:numPr>
      </w:pPr>
      <w:r>
        <w:t xml:space="preserve">Expected full-year fan attendance to rise by a high-single-digit percentage.</w:t>
      </w:r>
    </w:p>
    <w:p>
      <w:pPr>
        <w:pStyle w:val="FirstParagraph"/>
      </w:pPr>
      <w:r>
        <w:t xml:space="preserve">The report should reveal whether those trends held through July.</w:t>
      </w:r>
    </w:p>
    <w:p>
      <w:pPr>
        <w:pStyle w:val="BodyText"/>
      </w:pPr>
      <w:r>
        <w:t xml:space="preserve">Key questions include:</w:t>
      </w:r>
    </w:p>
    <w:p>
      <w:pPr>
        <w:pStyle w:val="Compact"/>
        <w:numPr>
          <w:ilvl w:val="0"/>
          <w:numId w:val="1004"/>
        </w:numPr>
      </w:pPr>
      <w:r>
        <w:t xml:space="preserve">Are amphitheater ticket sales and onsite spending tracking as strongly as management expected?</w:t>
      </w:r>
    </w:p>
    <w:p>
      <w:pPr>
        <w:pStyle w:val="Compact"/>
        <w:numPr>
          <w:ilvl w:val="0"/>
          <w:numId w:val="1004"/>
        </w:numPr>
      </w:pPr>
      <w:r>
        <w:t xml:space="preserve">Has the company maintained its show-count growth after last year’s amphitheater supply shortfall?</w:t>
      </w:r>
    </w:p>
    <w:p>
      <w:pPr>
        <w:pStyle w:val="Compact"/>
        <w:numPr>
          <w:ilvl w:val="0"/>
          <w:numId w:val="1004"/>
        </w:numPr>
      </w:pPr>
      <w:r>
        <w:t xml:space="preserve">Are sell-through rates holding for lower- and mid-priced inventory, not just premium tickets?</w:t>
      </w:r>
    </w:p>
    <w:p>
      <w:pPr>
        <w:pStyle w:val="Compact"/>
        <w:numPr>
          <w:ilvl w:val="0"/>
          <w:numId w:val="1004"/>
        </w:numPr>
      </w:pPr>
      <w:r>
        <w:t xml:space="preserve">Have cancellations or macroeconomic pressures increased materially?</w:t>
      </w:r>
    </w:p>
    <w:p>
      <w:pPr>
        <w:pStyle w:val="Compact"/>
        <w:numPr>
          <w:ilvl w:val="0"/>
          <w:numId w:val="1004"/>
        </w:numPr>
      </w:pPr>
      <w:r>
        <w:t xml:space="preserve">Is international growth still outpacing North America?</w:t>
      </w:r>
    </w:p>
    <w:p>
      <w:pPr>
        <w:pStyle w:val="FirstParagraph"/>
      </w:pPr>
      <w:r>
        <w:t xml:space="preserve">Management said in May that cancellations were running within or below historical norms and that it saw no demand pullback. Any change in that assessment would be significant.</w:t>
      </w:r>
    </w:p>
    <w:bookmarkEnd w:id="12"/>
    <w:bookmarkStart w:id="13" w:name="Xd791cb5033f950022bfd5231722344e9c084adc"/>
    <w:p>
      <w:pPr>
        <w:pStyle w:val="Heading3"/>
      </w:pPr>
      <w:r>
        <w:t xml:space="preserve">3. The Q3 setup may matter more than the Q2 print</w:t>
      </w:r>
    </w:p>
    <w:p>
      <w:pPr>
        <w:pStyle w:val="FirstParagraph"/>
      </w:pPr>
      <w:r>
        <w:t xml:space="preserve">Q3 is normally Live Nation’s most important seasonal quarter, and management has made it especially central to the 2026 story.</w:t>
      </w:r>
    </w:p>
    <w:p>
      <w:pPr>
        <w:pStyle w:val="BodyText"/>
      </w:pPr>
      <w:r>
        <w:t xml:space="preserve">Investors should focus on updated figures for:</w:t>
      </w:r>
    </w:p>
    <w:p>
      <w:pPr>
        <w:pStyle w:val="Compact"/>
        <w:numPr>
          <w:ilvl w:val="0"/>
          <w:numId w:val="1005"/>
        </w:numPr>
      </w:pPr>
      <w:r>
        <w:t xml:space="preserve">Remaining 2026 concert tickets sold.</w:t>
      </w:r>
    </w:p>
    <w:p>
      <w:pPr>
        <w:pStyle w:val="Compact"/>
        <w:numPr>
          <w:ilvl w:val="0"/>
          <w:numId w:val="1005"/>
        </w:numPr>
      </w:pPr>
      <w:r>
        <w:t xml:space="preserve">Stadium, amphitheater and arena show counts.</w:t>
      </w:r>
    </w:p>
    <w:p>
      <w:pPr>
        <w:pStyle w:val="Compact"/>
        <w:numPr>
          <w:ilvl w:val="0"/>
          <w:numId w:val="1005"/>
        </w:numPr>
      </w:pPr>
      <w:r>
        <w:t xml:space="preserve">Event-related deferred revenue.</w:t>
      </w:r>
    </w:p>
    <w:p>
      <w:pPr>
        <w:pStyle w:val="Compact"/>
        <w:numPr>
          <w:ilvl w:val="0"/>
          <w:numId w:val="1005"/>
        </w:numPr>
      </w:pPr>
      <w:r>
        <w:t xml:space="preserve">Venue Nation attendance expectations.</w:t>
      </w:r>
    </w:p>
    <w:p>
      <w:pPr>
        <w:pStyle w:val="Compact"/>
        <w:numPr>
          <w:ilvl w:val="0"/>
          <w:numId w:val="1005"/>
        </w:numPr>
      </w:pPr>
      <w:r>
        <w:t xml:space="preserve">Premium seating and hospitality performance.</w:t>
      </w:r>
    </w:p>
    <w:p>
      <w:pPr>
        <w:pStyle w:val="Compact"/>
        <w:numPr>
          <w:ilvl w:val="0"/>
          <w:numId w:val="1005"/>
        </w:numPr>
      </w:pPr>
      <w:r>
        <w:t xml:space="preserve">Onsite food-and-beverage spending.</w:t>
      </w:r>
    </w:p>
    <w:p>
      <w:pPr>
        <w:pStyle w:val="FirstParagraph"/>
      </w:pPr>
      <w:r>
        <w:t xml:space="preserve">At March 31, event-related deferred revenue was</w:t>
      </w:r>
      <w:r>
        <w:t xml:space="preserve"> </w:t>
      </w:r>
      <m:oMath>
        <m:r>
          <m:t>6.6</m:t>
        </m:r>
        <m:r>
          <m:t>b</m:t>
        </m:r>
        <m:r>
          <m:t>i</m:t>
        </m:r>
        <m:r>
          <m:t>l</m:t>
        </m:r>
        <m:r>
          <m:t>l</m:t>
        </m:r>
        <m:r>
          <m:t>i</m:t>
        </m:r>
        <m:r>
          <m:t>o</m:t>
        </m:r>
        <m:r>
          <m:t>n</m:t>
        </m:r>
        <m:r>
          <m:rPr>
            <m:sty m:val="p"/>
          </m:rPr>
          <m:t>,</m:t>
        </m:r>
        <m:r>
          <m:t>u</m:t>
        </m:r>
        <m:r>
          <m:t>p</m:t>
        </m:r>
        <m:r>
          <m:t>22</m:t>
        </m:r>
      </m:oMath>
      <w:r>
        <w:rPr>
          <w:b/>
          <w:bCs/>
        </w:rPr>
        <w:t xml:space="preserve">368 million, up 29%</w:t>
      </w:r>
      <w:r>
        <w:t xml:space="preserve">, representing $5.5 billion of deferred ticketing gross transaction value.</w:t>
      </w:r>
    </w:p>
    <w:p>
      <w:pPr>
        <w:pStyle w:val="BodyText"/>
      </w:pPr>
      <w:r>
        <w:t xml:space="preserve">Those balances naturally decline as events occur, so the absolute Q2 number matters less than its year-over-year growth and management’s interpretation of the remaining pipeline.</w:t>
      </w:r>
    </w:p>
    <w:bookmarkEnd w:id="13"/>
    <w:bookmarkStart w:id="14" w:name="X1d57fbe17ec7927dc266626ce744e65a6fa951b"/>
    <w:p>
      <w:pPr>
        <w:pStyle w:val="Heading3"/>
      </w:pPr>
      <w:r>
        <w:t xml:space="preserve">4. Ticketmaster’s quality of growth</w:t>
      </w:r>
    </w:p>
    <w:p>
      <w:pPr>
        <w:pStyle w:val="FirstParagraph"/>
      </w:pPr>
      <w:r>
        <w:t xml:space="preserve">Ticketmaster began the year with good underlying demand:</w:t>
      </w:r>
    </w:p>
    <w:p>
      <w:pPr>
        <w:pStyle w:val="Compact"/>
        <w:numPr>
          <w:ilvl w:val="0"/>
          <w:numId w:val="1006"/>
        </w:numPr>
      </w:pPr>
      <w:r>
        <w:t xml:space="preserve">Q1 revenue increased 10%.</w:t>
      </w:r>
    </w:p>
    <w:p>
      <w:pPr>
        <w:pStyle w:val="Compact"/>
        <w:numPr>
          <w:ilvl w:val="0"/>
          <w:numId w:val="1006"/>
        </w:numPr>
      </w:pPr>
      <w:r>
        <w:t xml:space="preserve">Fee-bearing ticket volume increased 4% to approximately 81 million.</w:t>
      </w:r>
    </w:p>
    <w:p>
      <w:pPr>
        <w:pStyle w:val="Compact"/>
        <w:numPr>
          <w:ilvl w:val="0"/>
          <w:numId w:val="1006"/>
        </w:numPr>
      </w:pPr>
      <w:r>
        <w:t xml:space="preserve">Primary GTV increased 14%.</w:t>
      </w:r>
    </w:p>
    <w:p>
      <w:pPr>
        <w:pStyle w:val="Compact"/>
        <w:numPr>
          <w:ilvl w:val="0"/>
          <w:numId w:val="1006"/>
        </w:numPr>
      </w:pPr>
      <w:r>
        <w:t xml:space="preserve">Through April, total fee-bearing tickets transacted were up 9%, while GTV was up 15%.</w:t>
      </w:r>
    </w:p>
    <w:p>
      <w:pPr>
        <w:pStyle w:val="Compact"/>
        <w:numPr>
          <w:ilvl w:val="0"/>
          <w:numId w:val="1006"/>
        </w:numPr>
      </w:pPr>
      <w:r>
        <w:t xml:space="preserve">Eight million net new tickets were signed in Q1, with 80% coming from international markets.</w:t>
      </w:r>
    </w:p>
    <w:p>
      <w:pPr>
        <w:pStyle w:val="FirstParagraph"/>
      </w:pPr>
      <w:r>
        <w:t xml:space="preserve">But AOI increased only 1%, and its margin fell from 36.4% to 33.4%. Management attributed part of this to approximately</w:t>
      </w:r>
      <w:r>
        <w:t xml:space="preserve"> </w:t>
      </w:r>
      <w:r>
        <w:rPr>
          <w:b/>
          <w:bCs/>
        </w:rPr>
        <w:t xml:space="preserve">$30 million of legal and operational-improvement expenses</w:t>
      </w:r>
      <w:r>
        <w:t xml:space="preserve">.</w:t>
      </w:r>
    </w:p>
    <w:p>
      <w:pPr>
        <w:pStyle w:val="BodyText"/>
      </w:pPr>
      <w:r>
        <w:t xml:space="preserve">Ticketmaster also expects a</w:t>
      </w:r>
      <w:r>
        <w:t xml:space="preserve"> </w:t>
      </w:r>
      <w:r>
        <w:rPr>
          <w:b/>
          <w:bCs/>
        </w:rPr>
        <w:t xml:space="preserve">mid-single-digit full-year AOI headwind</w:t>
      </w:r>
      <w:r>
        <w:t xml:space="preserve"> </w:t>
      </w:r>
      <w:r>
        <w:t xml:space="preserve">from restricting broker inventory and reducing scalping activity. Management has described this as a structural reset that should be lapped after 2026 rather than a recurring annual drag.</w:t>
      </w:r>
    </w:p>
    <w:p>
      <w:pPr>
        <w:pStyle w:val="BodyText"/>
      </w:pPr>
      <w:r>
        <w:t xml:space="preserve">The most useful Ticketmaster indicators will be:</w:t>
      </w:r>
    </w:p>
    <w:p>
      <w:pPr>
        <w:pStyle w:val="Compact"/>
        <w:numPr>
          <w:ilvl w:val="0"/>
          <w:numId w:val="1007"/>
        </w:numPr>
      </w:pPr>
      <w:r>
        <w:t xml:space="preserve">Primary fee-bearing ticket growth.</w:t>
      </w:r>
    </w:p>
    <w:p>
      <w:pPr>
        <w:pStyle w:val="Compact"/>
        <w:numPr>
          <w:ilvl w:val="0"/>
          <w:numId w:val="1007"/>
        </w:numPr>
      </w:pPr>
      <w:r>
        <w:t xml:space="preserve">Primary versus secondary GTV mix.</w:t>
      </w:r>
    </w:p>
    <w:p>
      <w:pPr>
        <w:pStyle w:val="Compact"/>
        <w:numPr>
          <w:ilvl w:val="0"/>
          <w:numId w:val="1007"/>
        </w:numPr>
      </w:pPr>
      <w:r>
        <w:t xml:space="preserve">Whether legal and operational expenses moderated as promised.</w:t>
      </w:r>
    </w:p>
    <w:p>
      <w:pPr>
        <w:pStyle w:val="Compact"/>
        <w:numPr>
          <w:ilvl w:val="0"/>
          <w:numId w:val="1007"/>
        </w:numPr>
      </w:pPr>
      <w:r>
        <w:t xml:space="preserve">Full-year AOI margin guidance.</w:t>
      </w:r>
    </w:p>
    <w:p>
      <w:pPr>
        <w:pStyle w:val="Compact"/>
        <w:numPr>
          <w:ilvl w:val="0"/>
          <w:numId w:val="1007"/>
        </w:numPr>
      </w:pPr>
      <w:r>
        <w:t xml:space="preserve">International client additions.</w:t>
      </w:r>
    </w:p>
    <w:p>
      <w:pPr>
        <w:pStyle w:val="Compact"/>
        <w:numPr>
          <w:ilvl w:val="0"/>
          <w:numId w:val="1007"/>
        </w:numPr>
      </w:pPr>
      <w:r>
        <w:t xml:space="preserve">Progress in Japan, Latin America and other expansion markets.</w:t>
      </w:r>
    </w:p>
    <w:p>
      <w:pPr>
        <w:pStyle w:val="Compact"/>
        <w:numPr>
          <w:ilvl w:val="0"/>
          <w:numId w:val="1007"/>
        </w:numPr>
      </w:pPr>
      <w:r>
        <w:t xml:space="preserve">Product improvements related to identity verification, Face Value Exchange and AI-assisted discovery.</w:t>
      </w:r>
    </w:p>
    <w:p>
      <w:pPr>
        <w:pStyle w:val="FirstParagraph"/>
      </w:pPr>
      <w:r>
        <w:t xml:space="preserve">A high-quality result would show primary ticketing and international growth more than offsetting weaker secondary economics, with margins beginning to stabilize.</w:t>
      </w:r>
    </w:p>
    <w:bookmarkEnd w:id="14"/>
    <w:bookmarkStart w:id="15" w:name="X0f2cd16b223d892ad0c7699e5b3b6b8f876896f"/>
    <w:p>
      <w:pPr>
        <w:pStyle w:val="Heading3"/>
      </w:pPr>
      <w:r>
        <w:t xml:space="preserve">5. Sponsorship should remain a source of earnings stability</w:t>
      </w:r>
    </w:p>
    <w:p>
      <w:pPr>
        <w:pStyle w:val="FirstParagraph"/>
      </w:pPr>
      <w:r>
        <w:t xml:space="preserve">Sponsorship &amp; Advertising was Q1’s cleanest segment:</w:t>
      </w:r>
    </w:p>
    <w:p>
      <w:pPr>
        <w:pStyle w:val="Compact"/>
        <w:numPr>
          <w:ilvl w:val="0"/>
          <w:numId w:val="1008"/>
        </w:numPr>
      </w:pPr>
      <w:r>
        <w:t xml:space="preserve">Revenue increased 20%.</w:t>
      </w:r>
    </w:p>
    <w:p>
      <w:pPr>
        <w:pStyle w:val="Compact"/>
        <w:numPr>
          <w:ilvl w:val="0"/>
          <w:numId w:val="1008"/>
        </w:numPr>
      </w:pPr>
      <w:r>
        <w:t xml:space="preserve">AOI increased 21%.</w:t>
      </w:r>
    </w:p>
    <w:p>
      <w:pPr>
        <w:pStyle w:val="Compact"/>
        <w:numPr>
          <w:ilvl w:val="0"/>
          <w:numId w:val="1008"/>
        </w:numPr>
      </w:pPr>
      <w:r>
        <w:t xml:space="preserve">AOI margin expanded to 63.6%.</w:t>
      </w:r>
    </w:p>
    <w:p>
      <w:pPr>
        <w:pStyle w:val="Compact"/>
        <w:numPr>
          <w:ilvl w:val="0"/>
          <w:numId w:val="1008"/>
        </w:numPr>
      </w:pPr>
      <w:r>
        <w:t xml:space="preserve">Approximately 85% of expected 2026 sponsorship commitments were booked by the end of April, with commitments up double digits.</w:t>
      </w:r>
    </w:p>
    <w:p>
      <w:pPr>
        <w:pStyle w:val="FirstParagraph"/>
      </w:pPr>
      <w:r>
        <w:t xml:space="preserve">The segment benefits from the expanding venue portfolio, international festivals, naming rights and premium hospitality products. Because much of the business is contracted in advance, it provides useful visibility when concert timing is volatile.</w:t>
      </w:r>
    </w:p>
    <w:p>
      <w:pPr>
        <w:pStyle w:val="BodyText"/>
      </w:pPr>
      <w:r>
        <w:t xml:space="preserve">The principal question is whether Q1’s strong growth was partly a timing benefit from Latin American festivals or reflects a sustainable acceleration. Management continues to guide to double-digit full-year AOI growth with margins similar to 2025.</w:t>
      </w:r>
    </w:p>
    <w:bookmarkEnd w:id="15"/>
    <w:bookmarkStart w:id="16" w:name="Xba0b88afccf4fe4c0e7d806e4632fcf56d38ffa"/>
    <w:p>
      <w:pPr>
        <w:pStyle w:val="Heading3"/>
      </w:pPr>
      <w:r>
        <w:t xml:space="preserve">6. Venue Nation: returns must begin catching up with spending</w:t>
      </w:r>
    </w:p>
    <w:p>
      <w:pPr>
        <w:pStyle w:val="FirstParagraph"/>
      </w:pPr>
      <w:r>
        <w:t xml:space="preserve">Live Nation expects 2026 capital expenditures of</w:t>
      </w:r>
      <w:r>
        <w:t xml:space="preserve"> </w:t>
      </w:r>
      <w:r>
        <w:rPr>
          <w:b/>
          <w:bCs/>
        </w:rPr>
        <w:t xml:space="preserve">$1.1 billion to $1.2 billion</w:t>
      </w:r>
      <w:r>
        <w:t xml:space="preserve">, including $800 million to $850 million for venue expansion and enhancements. Approximately $250 million is expected to be funded by partners, sponsors and project-level financing.</w:t>
      </w:r>
    </w:p>
    <w:p>
      <w:pPr>
        <w:pStyle w:val="BodyText"/>
      </w:pPr>
      <w:r>
        <w:t xml:space="preserve">The company says new and upgraded venues can generate returns above 20%, supported by:</w:t>
      </w:r>
    </w:p>
    <w:p>
      <w:pPr>
        <w:pStyle w:val="Compact"/>
        <w:numPr>
          <w:ilvl w:val="0"/>
          <w:numId w:val="1009"/>
        </w:numPr>
      </w:pPr>
      <w:r>
        <w:t xml:space="preserve">More events and greater control of the concert calendar.</w:t>
      </w:r>
    </w:p>
    <w:p>
      <w:pPr>
        <w:pStyle w:val="Compact"/>
        <w:numPr>
          <w:ilvl w:val="0"/>
          <w:numId w:val="1009"/>
        </w:numPr>
      </w:pPr>
      <w:r>
        <w:t xml:space="preserve">Food-and-beverage revenue.</w:t>
      </w:r>
    </w:p>
    <w:p>
      <w:pPr>
        <w:pStyle w:val="Compact"/>
        <w:numPr>
          <w:ilvl w:val="0"/>
          <w:numId w:val="1009"/>
        </w:numPr>
      </w:pPr>
      <w:r>
        <w:t xml:space="preserve">Premium seating and hospitality.</w:t>
      </w:r>
    </w:p>
    <w:p>
      <w:pPr>
        <w:pStyle w:val="Compact"/>
        <w:numPr>
          <w:ilvl w:val="0"/>
          <w:numId w:val="1009"/>
        </w:numPr>
      </w:pPr>
      <w:r>
        <w:t xml:space="preserve">Naming rights and other sponsorship.</w:t>
      </w:r>
    </w:p>
    <w:p>
      <w:pPr>
        <w:pStyle w:val="Compact"/>
        <w:numPr>
          <w:ilvl w:val="0"/>
          <w:numId w:val="1009"/>
        </w:numPr>
      </w:pPr>
      <w:r>
        <w:t xml:space="preserve">Ticketing and ancillary revenue across the broader platform.</w:t>
      </w:r>
    </w:p>
    <w:p>
      <w:pPr>
        <w:pStyle w:val="FirstParagraph"/>
      </w:pPr>
      <w:r>
        <w:t xml:space="preserve">Management expects fans at owned or operated venues to grow by double digits in 2026. Recently acquired venues in Santiago, Milan and Bangkok add approximately four million annual fans of cumulative capacity.</w:t>
      </w:r>
    </w:p>
    <w:p>
      <w:pPr>
        <w:pStyle w:val="BodyText"/>
      </w:pPr>
      <w:r>
        <w:t xml:space="preserve">Investors should look for evidence that the spending is translating into:</w:t>
      </w:r>
    </w:p>
    <w:p>
      <w:pPr>
        <w:pStyle w:val="Compact"/>
        <w:numPr>
          <w:ilvl w:val="0"/>
          <w:numId w:val="1010"/>
        </w:numPr>
      </w:pPr>
      <w:r>
        <w:t xml:space="preserve">Higher Venue Nation attendance.</w:t>
      </w:r>
    </w:p>
    <w:p>
      <w:pPr>
        <w:pStyle w:val="Compact"/>
        <w:numPr>
          <w:ilvl w:val="0"/>
          <w:numId w:val="1010"/>
        </w:numPr>
      </w:pPr>
      <w:r>
        <w:t xml:space="preserve">Better onsite spending per fan.</w:t>
      </w:r>
    </w:p>
    <w:p>
      <w:pPr>
        <w:pStyle w:val="Compact"/>
        <w:numPr>
          <w:ilvl w:val="0"/>
          <w:numId w:val="1010"/>
        </w:numPr>
      </w:pPr>
      <w:r>
        <w:t xml:space="preserve">Greater premium-seat penetration.</w:t>
      </w:r>
    </w:p>
    <w:p>
      <w:pPr>
        <w:pStyle w:val="Compact"/>
        <w:numPr>
          <w:ilvl w:val="0"/>
          <w:numId w:val="1010"/>
        </w:numPr>
      </w:pPr>
      <w:r>
        <w:t xml:space="preserve">Higher sponsorship commitments.</w:t>
      </w:r>
    </w:p>
    <w:p>
      <w:pPr>
        <w:pStyle w:val="Compact"/>
        <w:numPr>
          <w:ilvl w:val="0"/>
          <w:numId w:val="1010"/>
        </w:numPr>
      </w:pPr>
      <w:r>
        <w:t xml:space="preserve">A visible ramp toward venue-level AOI targets.</w:t>
      </w:r>
    </w:p>
    <w:p>
      <w:pPr>
        <w:pStyle w:val="FirstParagraph"/>
      </w:pPr>
      <w:r>
        <w:t xml:space="preserve">Capital intensity is becoming a larger part of the LYV debate. Strong AOI growth will be less impressive if free-cash-flow conversion deteriorates or project costs move materially higher.</w:t>
      </w:r>
    </w:p>
    <w:bookmarkEnd w:id="16"/>
    <w:bookmarkStart w:id="17" w:name="Xa9690f66774c5b1233c3a901339d3f1f74a05d8"/>
    <w:p>
      <w:pPr>
        <w:pStyle w:val="Heading3"/>
      </w:pPr>
      <w:r>
        <w:t xml:space="preserve">7. Legal risk remains the largest non-operating variable</w:t>
      </w:r>
    </w:p>
    <w:p>
      <w:pPr>
        <w:pStyle w:val="FirstParagraph"/>
      </w:pPr>
      <w:r>
        <w:t xml:space="preserve">The federal antitrust settlement does not require a Ticketmaster divestiture, but it includes structural and conduct remedies, while numerous states continued their case and won a jury verdict in April. Remedies, civil penalties, post-trial motions and potential appeals remain unresolved.</w:t>
      </w:r>
    </w:p>
    <w:p>
      <w:pPr>
        <w:pStyle w:val="BodyText"/>
      </w:pPr>
      <w:r>
        <w:t xml:space="preserve">Q1’s $450 million provision represented management’s best estimate of losses associated with settling states and the jury damages award. It does</w:t>
      </w:r>
      <w:r>
        <w:t xml:space="preserve"> </w:t>
      </w:r>
      <w:r>
        <w:rPr>
          <w:b/>
          <w:bCs/>
        </w:rPr>
        <w:t xml:space="preserve">not</w:t>
      </w:r>
      <w:r>
        <w:t xml:space="preserve"> </w:t>
      </w:r>
      <w:r>
        <w:t xml:space="preserve">eliminate the risk of:</w:t>
      </w:r>
    </w:p>
    <w:p>
      <w:pPr>
        <w:pStyle w:val="Compact"/>
        <w:numPr>
          <w:ilvl w:val="0"/>
          <w:numId w:val="1011"/>
        </w:numPr>
      </w:pPr>
      <w:r>
        <w:t xml:space="preserve">A larger monetary charge.</w:t>
      </w:r>
    </w:p>
    <w:p>
      <w:pPr>
        <w:pStyle w:val="Compact"/>
        <w:numPr>
          <w:ilvl w:val="0"/>
          <w:numId w:val="1011"/>
        </w:numPr>
      </w:pPr>
      <w:r>
        <w:t xml:space="preserve">Additional compliance costs.</w:t>
      </w:r>
    </w:p>
    <w:p>
      <w:pPr>
        <w:pStyle w:val="Compact"/>
        <w:numPr>
          <w:ilvl w:val="0"/>
          <w:numId w:val="1011"/>
        </w:numPr>
      </w:pPr>
      <w:r>
        <w:t xml:space="preserve">Restrictions on venue, promotion or ticketing practices.</w:t>
      </w:r>
    </w:p>
    <w:p>
      <w:pPr>
        <w:pStyle w:val="Compact"/>
        <w:numPr>
          <w:ilvl w:val="0"/>
          <w:numId w:val="1011"/>
        </w:numPr>
      </w:pPr>
      <w:r>
        <w:t xml:space="preserve">Adverse state-law remedies.</w:t>
      </w:r>
    </w:p>
    <w:p>
      <w:pPr>
        <w:pStyle w:val="Compact"/>
        <w:numPr>
          <w:ilvl w:val="0"/>
          <w:numId w:val="1011"/>
        </w:numPr>
      </w:pPr>
      <w:r>
        <w:t xml:space="preserve">Continued FTC and private antitrust litigation.</w:t>
      </w:r>
    </w:p>
    <w:p>
      <w:pPr>
        <w:pStyle w:val="FirstParagraph"/>
      </w:pPr>
      <w:r>
        <w:t xml:space="preserve">Specific points to listen for:</w:t>
      </w:r>
    </w:p>
    <w:p>
      <w:pPr>
        <w:pStyle w:val="Compact"/>
        <w:numPr>
          <w:ilvl w:val="0"/>
          <w:numId w:val="1012"/>
        </w:numPr>
      </w:pPr>
      <w:r>
        <w:t xml:space="preserve">Has the estimated loss range changed?</w:t>
      </w:r>
    </w:p>
    <w:p>
      <w:pPr>
        <w:pStyle w:val="Compact"/>
        <w:numPr>
          <w:ilvl w:val="0"/>
          <w:numId w:val="1012"/>
        </w:numPr>
      </w:pPr>
      <w:r>
        <w:t xml:space="preserve">Does management still expect the ultimate monetary outcome to be near the amount already accrued?</w:t>
      </w:r>
    </w:p>
    <w:p>
      <w:pPr>
        <w:pStyle w:val="Compact"/>
        <w:numPr>
          <w:ilvl w:val="0"/>
          <w:numId w:val="1012"/>
        </w:numPr>
      </w:pPr>
      <w:r>
        <w:t xml:space="preserve">What remedies are the remaining states seeking?</w:t>
      </w:r>
    </w:p>
    <w:p>
      <w:pPr>
        <w:pStyle w:val="Compact"/>
        <w:numPr>
          <w:ilvl w:val="0"/>
          <w:numId w:val="1012"/>
        </w:numPr>
      </w:pPr>
      <w:r>
        <w:t xml:space="preserve">Could any remedy alter the economics of exclusive booking, ticket allocations or service fees?</w:t>
      </w:r>
    </w:p>
    <w:p>
      <w:pPr>
        <w:pStyle w:val="Compact"/>
        <w:numPr>
          <w:ilvl w:val="0"/>
          <w:numId w:val="1012"/>
        </w:numPr>
      </w:pPr>
      <w:r>
        <w:t xml:space="preserve">What ongoing legal costs remain inside Ticketing or corporate AOI?</w:t>
      </w:r>
    </w:p>
    <w:p>
      <w:pPr>
        <w:pStyle w:val="Compact"/>
        <w:numPr>
          <w:ilvl w:val="0"/>
          <w:numId w:val="1012"/>
        </w:numPr>
      </w:pPr>
      <w:r>
        <w:t xml:space="preserve">Has the timetable for court decisions and appeals become clearer?</w:t>
      </w:r>
    </w:p>
    <w:p>
      <w:pPr>
        <w:pStyle w:val="FirstParagraph"/>
      </w:pPr>
      <w:r>
        <w:t xml:space="preserve">The market may tolerate ongoing legal uncertainty if the $450 million accrual appears sufficient and the operational remedies remain manageable. A materially larger provision or a credible threat to Ticketmaster’s integration with Live Nation would be far more consequential than a normal quarterly earnings miss.</w:t>
      </w:r>
    </w:p>
    <w:bookmarkEnd w:id="17"/>
    <w:bookmarkEnd w:id="18"/>
    <w:bookmarkStart w:id="19" w:name="balance-sheet-and-cash-flow"/>
    <w:p>
      <w:pPr>
        <w:pStyle w:val="Heading2"/>
      </w:pPr>
      <w:r>
        <w:t xml:space="preserve">Balance sheet and cash flow</w:t>
      </w:r>
    </w:p>
    <w:p>
      <w:pPr>
        <w:pStyle w:val="FirstParagraph"/>
      </w:pPr>
      <w:r>
        <w:t xml:space="preserve">At March 31, Live Nation reported:</w:t>
      </w:r>
    </w:p>
    <w:p>
      <w:pPr>
        <w:pStyle w:val="Compact"/>
        <w:numPr>
          <w:ilvl w:val="0"/>
          <w:numId w:val="1013"/>
        </w:numPr>
      </w:pPr>
      <w:r>
        <w:t xml:space="preserve">$9.1 billion of cash and equivalents.</w:t>
      </w:r>
    </w:p>
    <w:p>
      <w:pPr>
        <w:pStyle w:val="Compact"/>
        <w:numPr>
          <w:ilvl w:val="0"/>
          <w:numId w:val="1013"/>
        </w:numPr>
      </w:pPr>
      <w:r>
        <w:t xml:space="preserve">$1.7 billion of company-defined “free cash.”</w:t>
      </w:r>
    </w:p>
    <w:p>
      <w:pPr>
        <w:pStyle w:val="Compact"/>
        <w:numPr>
          <w:ilvl w:val="0"/>
          <w:numId w:val="1013"/>
        </w:numPr>
      </w:pPr>
      <w:r>
        <w:t xml:space="preserve">$8.6 billion of gross debt.</w:t>
      </w:r>
    </w:p>
    <w:p>
      <w:pPr>
        <w:pStyle w:val="Compact"/>
        <w:numPr>
          <w:ilvl w:val="0"/>
          <w:numId w:val="1013"/>
        </w:numPr>
      </w:pPr>
      <w:r>
        <w:t xml:space="preserve">Leverage of approximately 3.6 times.</w:t>
      </w:r>
    </w:p>
    <w:p>
      <w:pPr>
        <w:pStyle w:val="Compact"/>
        <w:numPr>
          <w:ilvl w:val="0"/>
          <w:numId w:val="1013"/>
        </w:numPr>
      </w:pPr>
      <w:r>
        <w:t xml:space="preserve">A 4.2% weighted-average cost of debt.</w:t>
      </w:r>
    </w:p>
    <w:p>
      <w:pPr>
        <w:pStyle w:val="FirstParagraph"/>
      </w:pPr>
      <w:r>
        <w:t xml:space="preserve">The headline cash balance includes substantial amounts owed to ticketing clients and cash related to future events, so investors should focus on</w:t>
      </w:r>
      <w:r>
        <w:t xml:space="preserve"> </w:t>
      </w:r>
      <w:r>
        <w:rPr>
          <w:b/>
          <w:bCs/>
        </w:rPr>
        <w:t xml:space="preserve">free cash, net leverage and adjusted free cash flow</w:t>
      </w:r>
      <w:r>
        <w:t xml:space="preserve">, rather than gross cash alone.</w:t>
      </w:r>
    </w:p>
    <w:p>
      <w:pPr>
        <w:pStyle w:val="BodyText"/>
      </w:pPr>
      <w:r>
        <w:t xml:space="preserve">Live Nation subsequently completed a €610 million venue-backed financing. The structure provides long-dated, non-recourse funding against selected venue assets, but investors should monitor whether increasingly complex venue financing meaningfully changes consolidated leverage or cash accessibility.</w:t>
      </w:r>
    </w:p>
    <w:p>
      <w:pPr>
        <w:pStyle w:val="BodyText"/>
      </w:pPr>
      <w:r>
        <w:t xml:space="preserve">Management previously expected full-year AOI-to-adjusted-free-cash-flow conversion to be at least in line with 2025. Reaffirming that target while funding a record investment program would be constructive.</w:t>
      </w:r>
    </w:p>
    <w:bookmarkEnd w:id="19"/>
    <w:bookmarkStart w:id="23" w:name="potential-stock-reactions"/>
    <w:p>
      <w:pPr>
        <w:pStyle w:val="Heading2"/>
      </w:pPr>
      <w:r>
        <w:t xml:space="preserve">Potential stock reactions</w:t>
      </w:r>
    </w:p>
    <w:bookmarkStart w:id="20" w:name="bull-case"/>
    <w:p>
      <w:pPr>
        <w:pStyle w:val="Heading3"/>
      </w:pPr>
      <w:r>
        <w:t xml:space="preserve">Bull case</w:t>
      </w:r>
    </w:p>
    <w:p>
      <w:pPr>
        <w:pStyle w:val="Compact"/>
        <w:numPr>
          <w:ilvl w:val="0"/>
          <w:numId w:val="1014"/>
        </w:numPr>
      </w:pPr>
      <w:r>
        <w:t xml:space="preserve">Double-digit full-year AOI guidance is reaffirmed or raised.</w:t>
      </w:r>
    </w:p>
    <w:p>
      <w:pPr>
        <w:pStyle w:val="Compact"/>
        <w:numPr>
          <w:ilvl w:val="0"/>
          <w:numId w:val="1014"/>
        </w:numPr>
      </w:pPr>
      <w:r>
        <w:t xml:space="preserve">Summer ticket sales and deferred revenue remain strongly ahead.</w:t>
      </w:r>
    </w:p>
    <w:p>
      <w:pPr>
        <w:pStyle w:val="Compact"/>
        <w:numPr>
          <w:ilvl w:val="0"/>
          <w:numId w:val="1014"/>
        </w:numPr>
      </w:pPr>
      <w:r>
        <w:t xml:space="preserve">Q3 stadium and amphitheater expectations strengthen.</w:t>
      </w:r>
    </w:p>
    <w:p>
      <w:pPr>
        <w:pStyle w:val="Compact"/>
        <w:numPr>
          <w:ilvl w:val="0"/>
          <w:numId w:val="1014"/>
        </w:numPr>
      </w:pPr>
      <w:r>
        <w:t xml:space="preserve">Ticketmaster primary growth offsets the secondary-ticketing drag.</w:t>
      </w:r>
    </w:p>
    <w:p>
      <w:pPr>
        <w:pStyle w:val="Compact"/>
        <w:numPr>
          <w:ilvl w:val="0"/>
          <w:numId w:val="1014"/>
        </w:numPr>
      </w:pPr>
      <w:r>
        <w:t xml:space="preserve">Sponsorship maintains double-digit growth.</w:t>
      </w:r>
    </w:p>
    <w:p>
      <w:pPr>
        <w:pStyle w:val="Compact"/>
        <w:numPr>
          <w:ilvl w:val="0"/>
          <w:numId w:val="1014"/>
        </w:numPr>
      </w:pPr>
      <w:r>
        <w:t xml:space="preserve">The $450 million legal accrual is presented as broadly sufficient.</w:t>
      </w:r>
    </w:p>
    <w:p>
      <w:pPr>
        <w:pStyle w:val="Compact"/>
        <w:numPr>
          <w:ilvl w:val="0"/>
          <w:numId w:val="1014"/>
        </w:numPr>
      </w:pPr>
      <w:r>
        <w:t xml:space="preserve">Free-cash-flow conversion remains on plan.</w:t>
      </w:r>
    </w:p>
    <w:bookmarkEnd w:id="20"/>
    <w:bookmarkStart w:id="21" w:name="base-case"/>
    <w:p>
      <w:pPr>
        <w:pStyle w:val="Heading3"/>
      </w:pPr>
      <w:r>
        <w:t xml:space="preserve">Base case</w:t>
      </w:r>
    </w:p>
    <w:p>
      <w:pPr>
        <w:pStyle w:val="Compact"/>
        <w:numPr>
          <w:ilvl w:val="0"/>
          <w:numId w:val="1015"/>
        </w:numPr>
      </w:pPr>
      <w:r>
        <w:t xml:space="preserve">Q2 growth moderates against difficult comparisons.</w:t>
      </w:r>
    </w:p>
    <w:p>
      <w:pPr>
        <w:pStyle w:val="Compact"/>
        <w:numPr>
          <w:ilvl w:val="0"/>
          <w:numId w:val="1015"/>
        </w:numPr>
      </w:pPr>
      <w:r>
        <w:t xml:space="preserve">Concerts profitability is solid but below last year’s exceptional growth rate.</w:t>
      </w:r>
    </w:p>
    <w:p>
      <w:pPr>
        <w:pStyle w:val="Compact"/>
        <w:numPr>
          <w:ilvl w:val="0"/>
          <w:numId w:val="1015"/>
        </w:numPr>
      </w:pPr>
      <w:r>
        <w:t xml:space="preserve">Management emphasizes that most incremental stadium and amphitheater earnings arrive in Q3.</w:t>
      </w:r>
    </w:p>
    <w:p>
      <w:pPr>
        <w:pStyle w:val="Compact"/>
        <w:numPr>
          <w:ilvl w:val="0"/>
          <w:numId w:val="1015"/>
        </w:numPr>
      </w:pPr>
      <w:r>
        <w:t xml:space="preserve">Full-year guidance is unchanged.</w:t>
      </w:r>
    </w:p>
    <w:p>
      <w:pPr>
        <w:pStyle w:val="Compact"/>
        <w:numPr>
          <w:ilvl w:val="0"/>
          <w:numId w:val="1015"/>
        </w:numPr>
      </w:pPr>
      <w:r>
        <w:t xml:space="preserve">Ticketmaster margins remain pressured but show sequential improvement.</w:t>
      </w:r>
    </w:p>
    <w:p>
      <w:pPr>
        <w:pStyle w:val="Compact"/>
        <w:numPr>
          <w:ilvl w:val="0"/>
          <w:numId w:val="1015"/>
        </w:numPr>
      </w:pPr>
      <w:r>
        <w:t xml:space="preserve">No major change in the legal outlook.</w:t>
      </w:r>
    </w:p>
    <w:p>
      <w:pPr>
        <w:pStyle w:val="FirstParagraph"/>
      </w:pPr>
      <w:r>
        <w:t xml:space="preserve">This result would likely keep the investment thesis intact, although the stock’s strong run means “in line” could produce a muted reaction.</w:t>
      </w:r>
    </w:p>
    <w:bookmarkEnd w:id="21"/>
    <w:bookmarkStart w:id="22" w:name="bear-case"/>
    <w:p>
      <w:pPr>
        <w:pStyle w:val="Heading3"/>
      </w:pPr>
      <w:r>
        <w:t xml:space="preserve">Bear case</w:t>
      </w:r>
    </w:p>
    <w:p>
      <w:pPr>
        <w:pStyle w:val="Compact"/>
        <w:numPr>
          <w:ilvl w:val="0"/>
          <w:numId w:val="1016"/>
        </w:numPr>
      </w:pPr>
      <w:r>
        <w:t xml:space="preserve">Summer sell-through, amphitheater demand or lower-priced ticket sales weaken.</w:t>
      </w:r>
    </w:p>
    <w:p>
      <w:pPr>
        <w:pStyle w:val="Compact"/>
        <w:numPr>
          <w:ilvl w:val="0"/>
          <w:numId w:val="1016"/>
        </w:numPr>
      </w:pPr>
      <w:r>
        <w:t xml:space="preserve">Full-year attendance or AOI guidance is reduced.</w:t>
      </w:r>
    </w:p>
    <w:p>
      <w:pPr>
        <w:pStyle w:val="Compact"/>
        <w:numPr>
          <w:ilvl w:val="0"/>
          <w:numId w:val="1016"/>
        </w:numPr>
      </w:pPr>
      <w:r>
        <w:t xml:space="preserve">Q3 event timing shifts or cancellations increase.</w:t>
      </w:r>
    </w:p>
    <w:p>
      <w:pPr>
        <w:pStyle w:val="Compact"/>
        <w:numPr>
          <w:ilvl w:val="0"/>
          <w:numId w:val="1016"/>
        </w:numPr>
      </w:pPr>
      <w:r>
        <w:t xml:space="preserve">Ticketmaster’s primary volume slows while legal and anti-scalping expenses remain elevated.</w:t>
      </w:r>
    </w:p>
    <w:p>
      <w:pPr>
        <w:pStyle w:val="Compact"/>
        <w:numPr>
          <w:ilvl w:val="0"/>
          <w:numId w:val="1016"/>
        </w:numPr>
      </w:pPr>
      <w:r>
        <w:t xml:space="preserve">Capex rises without a corresponding increase in expected returns.</w:t>
      </w:r>
    </w:p>
    <w:p>
      <w:pPr>
        <w:pStyle w:val="Compact"/>
        <w:numPr>
          <w:ilvl w:val="0"/>
          <w:numId w:val="1016"/>
        </w:numPr>
      </w:pPr>
      <w:r>
        <w:t xml:space="preserve">Management increases the legal reserve or signals potentially disruptive remedies.</w:t>
      </w:r>
    </w:p>
    <w:bookmarkEnd w:id="22"/>
    <w:bookmarkEnd w:id="23"/>
    <w:bookmarkStart w:id="24" w:name="bottom-line"/>
    <w:p>
      <w:pPr>
        <w:pStyle w:val="Heading2"/>
      </w:pPr>
      <w:r>
        <w:t xml:space="preserve">Bottom line</w:t>
      </w:r>
    </w:p>
    <w:p>
      <w:pPr>
        <w:pStyle w:val="FirstParagraph"/>
      </w:pPr>
      <w:r>
        <w:t xml:space="preserve">The core operating setup remains favorable: Live Nation entered the summer with record deferred revenue, double-digit concert-ticket growth, a larger global venue footprint and strong sponsorship commitments. But Q2 is a transitional quarter in a year whose largest incremental stadium and amphitheater contribution is expected in Q3.</w:t>
      </w:r>
    </w:p>
    <w:p>
      <w:pPr>
        <w:pStyle w:val="BodyText"/>
      </w:pPr>
      <w:r>
        <w:t xml:space="preserve">Accordingly, the most important question is not simply whether Q2 beats last year’s $798 million of AOI. It is whether management can demonstrate that:</w:t>
      </w:r>
    </w:p>
    <w:p>
      <w:pPr>
        <w:pStyle w:val="Compact"/>
        <w:numPr>
          <w:ilvl w:val="0"/>
          <w:numId w:val="1017"/>
        </w:numPr>
      </w:pPr>
      <w:r>
        <w:rPr>
          <w:b/>
          <w:bCs/>
        </w:rPr>
        <w:t xml:space="preserve">The unusually back-end-loaded concert calendar is converting as expected.</w:t>
      </w:r>
    </w:p>
    <w:p>
      <w:pPr>
        <w:pStyle w:val="Compact"/>
        <w:numPr>
          <w:ilvl w:val="0"/>
          <w:numId w:val="1017"/>
        </w:numPr>
      </w:pPr>
      <w:r>
        <w:rPr>
          <w:b/>
          <w:bCs/>
        </w:rPr>
        <w:t xml:space="preserve">Double-digit full-year AOI growth remains achievable.</w:t>
      </w:r>
    </w:p>
    <w:p>
      <w:pPr>
        <w:pStyle w:val="Compact"/>
        <w:numPr>
          <w:ilvl w:val="0"/>
          <w:numId w:val="1017"/>
        </w:numPr>
      </w:pPr>
      <w:r>
        <w:rPr>
          <w:b/>
          <w:bCs/>
        </w:rPr>
        <w:t xml:space="preserve">Ticketmaster’s primary and international growth can absorb its deliberate secondary-ticketing reset.</w:t>
      </w:r>
    </w:p>
    <w:p>
      <w:pPr>
        <w:pStyle w:val="Compact"/>
        <w:numPr>
          <w:ilvl w:val="0"/>
          <w:numId w:val="1017"/>
        </w:numPr>
      </w:pPr>
      <w:r>
        <w:rPr>
          <w:b/>
          <w:bCs/>
        </w:rPr>
        <w:t xml:space="preserve">Venue investment is producing measurable attendance and per-fan returns.</w:t>
      </w:r>
    </w:p>
    <w:p>
      <w:pPr>
        <w:pStyle w:val="Compact"/>
        <w:numPr>
          <w:ilvl w:val="0"/>
          <w:numId w:val="1017"/>
        </w:numPr>
      </w:pPr>
      <w:r>
        <w:rPr>
          <w:b/>
          <w:bCs/>
        </w:rPr>
        <w:t xml:space="preserve">Legal exposure is contained near the amount already accrued.</w:t>
      </w:r>
    </w:p>
    <w:p>
      <w:pPr>
        <w:pStyle w:val="FirstParagraph"/>
      </w:pPr>
      <w:r>
        <w:t xml:space="preserve">With LYV up roughly 26% year to date, expectations are elevated. A constructive report will probably require strong forward indicators and legal reassurance, not merely a satisfactory Q2 income statement.</w:t>
      </w:r>
    </w:p>
    <w:p>
      <w:pPr>
        <w:pStyle w:val="BodyText"/>
      </w:pPr>
      <w:r>
        <w:rPr>
          <w:i/>
          <w:iCs/>
        </w:rPr>
        <w:t xml:space="preserve">Research based on Live Nation’s Q1 2026 earnings release, conference call and Form 10-Q; Q2 2025 results; its November 2025 investor presentation; subsequent company releases and public legal-case reporting; and stock prices through July 29, 2026.</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1"/>
  </w:num>
  <w:num w:numId="1015">
    <w:abstractNumId w:val="991"/>
  </w:num>
  <w:num w:numId="1016">
    <w:abstractNumId w:val="991"/>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2026-07-29T19:24:52Z</dcterms:created>
  <dcterms:modified xsi:type="dcterms:W3CDTF">2026-07-29T19:24:52Z</dcterms:modified>
</cp:coreProperties>
</file>

<file path=docProps/custom.xml><?xml version="1.0" encoding="utf-8"?>
<Properties xmlns="http://schemas.openxmlformats.org/officeDocument/2006/custom-properties" xmlns:vt="http://schemas.openxmlformats.org/officeDocument/2006/docPropsVTypes"/>
</file>