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028eba00b0c428e7530e4c5e974a86ea2c82e8b"/>
    <w:p>
      <w:pPr>
        <w:pStyle w:val="Heading1"/>
      </w:pPr>
      <w:r>
        <w:t xml:space="preserve">Live Nation Entertainment (NYSE: LYV) — 2Q26 Earnings Preview</w:t>
      </w:r>
    </w:p>
    <w:p>
      <w:pPr>
        <w:pStyle w:val="FirstParagraph"/>
      </w:pPr>
      <w:r>
        <w:rPr>
          <w:b/>
          <w:bCs/>
        </w:rPr>
        <w:t xml:space="preserve">Report date:</w:t>
      </w:r>
      <w:r>
        <w:t xml:space="preserve"> </w:t>
      </w:r>
      <w:r>
        <w:t xml:space="preserve">Thursday, July 30, 2026</w:t>
      </w:r>
      <w:r>
        <w:br/>
      </w:r>
      <w:r>
        <w:rPr>
          <w:b/>
          <w:bCs/>
        </w:rPr>
        <w:t xml:space="preserve">Event:</w:t>
      </w:r>
      <w:r>
        <w:t xml:space="preserve"> </w:t>
      </w:r>
      <w:r>
        <w:t xml:space="preserve">2026Q2 earnings call</w:t>
      </w:r>
      <w:r>
        <w:br/>
      </w:r>
      <w:r>
        <w:rPr>
          <w:b/>
          <w:bCs/>
        </w:rPr>
        <w:t xml:space="preserve">Setup:</w:t>
      </w:r>
      <w:r>
        <w:t xml:space="preserve"> </w:t>
      </w:r>
      <w:r>
        <w:t xml:space="preserve">Live Nation enters the seasonally important second quarter with strong demand indicators, record deferred revenue, and a broadly constructive 2026 operating outlook. The central question is not whether activity remains healthy—it appears to be—but whether Q2 results, updated pacing, and margin commentary are sufficient to support management’s</w:t>
      </w:r>
      <w:r>
        <w:t xml:space="preserve"> </w:t>
      </w:r>
      <w:r>
        <w:rPr>
          <w:b/>
          <w:bCs/>
        </w:rPr>
        <w:t xml:space="preserve">full-year double-digit AOI growth</w:t>
      </w:r>
      <w:r>
        <w:t xml:space="preserve"> </w:t>
      </w:r>
      <w:r>
        <w:t xml:space="preserve">objective amid a much larger legal/regulatory overhang and elevated growth capex.</w:t>
      </w:r>
    </w:p>
    <w:bookmarkStart w:id="9" w:name="investment-view-what-matters-most"/>
    <w:p>
      <w:pPr>
        <w:pStyle w:val="Heading2"/>
      </w:pPr>
      <w:r>
        <w:t xml:space="preserve">Investment view: what matters most</w:t>
      </w:r>
    </w:p>
    <w:p>
      <w:pPr>
        <w:pStyle w:val="FirstParagraph"/>
      </w:pPr>
      <w:r>
        <w:t xml:space="preserve">LYV’s near-term setup is fundamentally favorable. At 1Q26, the company reported:</w:t>
      </w:r>
    </w:p>
    <w:p>
      <w:pPr>
        <w:pStyle w:val="Compact"/>
        <w:numPr>
          <w:ilvl w:val="0"/>
          <w:numId w:val="1001"/>
        </w:numPr>
      </w:pPr>
      <w:r>
        <w:rPr>
          <w:b/>
          <w:bCs/>
        </w:rPr>
        <w:t xml:space="preserve">Revenue of $3.79bn</w:t>
      </w:r>
      <w:r>
        <w:t xml:space="preserve">, up</w:t>
      </w:r>
      <w:r>
        <w:t xml:space="preserve"> </w:t>
      </w:r>
      <w:r>
        <w:rPr>
          <w:b/>
          <w:bCs/>
        </w:rPr>
        <w:t xml:space="preserve">12% YoY</w:t>
      </w:r>
      <w:r>
        <w:t xml:space="preserve">;</w:t>
      </w:r>
    </w:p>
    <w:p>
      <w:pPr>
        <w:pStyle w:val="Compact"/>
        <w:numPr>
          <w:ilvl w:val="0"/>
          <w:numId w:val="1001"/>
        </w:numPr>
      </w:pPr>
      <w:r>
        <w:rPr>
          <w:b/>
          <w:bCs/>
        </w:rPr>
        <w:t xml:space="preserve">AOI of $371m</w:t>
      </w:r>
      <w:r>
        <w:t xml:space="preserve">, up</w:t>
      </w:r>
      <w:r>
        <w:t xml:space="preserve"> </w:t>
      </w:r>
      <w:r>
        <w:rPr>
          <w:b/>
          <w:bCs/>
        </w:rPr>
        <w:t xml:space="preserve">9% YoY</w:t>
      </w:r>
      <w:r>
        <w:t xml:space="preserve">;</w:t>
      </w:r>
    </w:p>
    <w:p>
      <w:pPr>
        <w:pStyle w:val="Compact"/>
        <w:numPr>
          <w:ilvl w:val="0"/>
          <w:numId w:val="1001"/>
        </w:numPr>
      </w:pPr>
      <w:r>
        <w:t xml:space="preserve">Record</w:t>
      </w:r>
      <w:r>
        <w:t xml:space="preserve"> </w:t>
      </w:r>
      <w:r>
        <w:rPr>
          <w:b/>
          <w:bCs/>
        </w:rPr>
        <w:t xml:space="preserve">event-related deferred revenue of $6.6bn</w:t>
      </w:r>
      <w:r>
        <w:t xml:space="preserve">, up</w:t>
      </w:r>
      <w:r>
        <w:t xml:space="preserve"> </w:t>
      </w:r>
      <w:r>
        <w:rPr>
          <w:b/>
          <w:bCs/>
        </w:rPr>
        <w:t xml:space="preserve">22% YoY</w:t>
      </w:r>
      <w:r>
        <w:t xml:space="preserve">;</w:t>
      </w:r>
    </w:p>
    <w:p>
      <w:pPr>
        <w:pStyle w:val="Compact"/>
        <w:numPr>
          <w:ilvl w:val="0"/>
          <w:numId w:val="1001"/>
        </w:numPr>
      </w:pPr>
      <w:r>
        <w:t xml:space="preserve">Record Ticketmaster deferred revenue of</w:t>
      </w:r>
      <w:r>
        <w:t xml:space="preserve"> </w:t>
      </w:r>
      <w:r>
        <w:rPr>
          <w:b/>
          <w:bCs/>
        </w:rPr>
        <w:t xml:space="preserve">$368m</w:t>
      </w:r>
      <w:r>
        <w:t xml:space="preserve">, up</w:t>
      </w:r>
      <w:r>
        <w:t xml:space="preserve"> </w:t>
      </w:r>
      <w:r>
        <w:rPr>
          <w:b/>
          <w:bCs/>
        </w:rPr>
        <w:t xml:space="preserve">29% YoY</w:t>
      </w:r>
      <w:r>
        <w:t xml:space="preserve">; and</w:t>
      </w:r>
    </w:p>
    <w:p>
      <w:pPr>
        <w:pStyle w:val="Compact"/>
        <w:numPr>
          <w:ilvl w:val="0"/>
          <w:numId w:val="1001"/>
        </w:numPr>
      </w:pPr>
      <w:r>
        <w:t xml:space="preserve">Concert tickets sold through late April of</w:t>
      </w:r>
      <w:r>
        <w:t xml:space="preserve"> </w:t>
      </w:r>
      <w:r>
        <w:rPr>
          <w:b/>
          <w:bCs/>
        </w:rPr>
        <w:t xml:space="preserve">107m</w:t>
      </w:r>
      <w:r>
        <w:t xml:space="preserve">, up</w:t>
      </w:r>
      <w:r>
        <w:t xml:space="preserve"> </w:t>
      </w:r>
      <w:r>
        <w:rPr>
          <w:b/>
          <w:bCs/>
        </w:rPr>
        <w:t xml:space="preserve">11% YoY</w:t>
      </w:r>
      <w:r>
        <w:t xml:space="preserve">.</w:t>
      </w:r>
    </w:p>
    <w:p>
      <w:pPr>
        <w:pStyle w:val="FirstParagraph"/>
      </w:pPr>
      <w:r>
        <w:t xml:space="preserve">These are unusually strong leading indicators for a business that recognizes much of its Concerts revenue when events occur. Importantly, management said more than</w:t>
      </w:r>
      <w:r>
        <w:t xml:space="preserve"> </w:t>
      </w:r>
      <w:r>
        <w:rPr>
          <w:b/>
          <w:bCs/>
        </w:rPr>
        <w:t xml:space="preserve">85% of 2026 large-venue shows were booked</w:t>
      </w:r>
      <w:r>
        <w:t xml:space="preserve"> </w:t>
      </w:r>
      <w:r>
        <w:t xml:space="preserve">by late April and maintained a double-digit consolidated AOI-growth framework for the year.</w:t>
      </w:r>
    </w:p>
    <w:p>
      <w:pPr>
        <w:pStyle w:val="BodyText"/>
      </w:pPr>
      <w:r>
        <w:t xml:space="preserve">That said, the earnings reaction may depend less on reported Q2 revenue or EPS—both affected by event timing, venue mix, investment, and legal accounting—and more on:</w:t>
      </w:r>
    </w:p>
    <w:p>
      <w:pPr>
        <w:pStyle w:val="Compact"/>
        <w:numPr>
          <w:ilvl w:val="0"/>
          <w:numId w:val="1002"/>
        </w:numPr>
      </w:pPr>
      <w:r>
        <w:rPr>
          <w:b/>
          <w:bCs/>
        </w:rPr>
        <w:t xml:space="preserve">Concert fan growth and profitability conversion</w:t>
      </w:r>
    </w:p>
    <w:p>
      <w:pPr>
        <w:pStyle w:val="Compact"/>
        <w:numPr>
          <w:ilvl w:val="0"/>
          <w:numId w:val="1002"/>
        </w:numPr>
      </w:pPr>
      <w:r>
        <w:rPr>
          <w:b/>
          <w:bCs/>
        </w:rPr>
        <w:t xml:space="preserve">Ticketmaster margin and the impact of anti-scalping measures</w:t>
      </w:r>
    </w:p>
    <w:p>
      <w:pPr>
        <w:pStyle w:val="Compact"/>
        <w:numPr>
          <w:ilvl w:val="0"/>
          <w:numId w:val="1002"/>
        </w:numPr>
      </w:pPr>
      <w:r>
        <w:rPr>
          <w:b/>
          <w:bCs/>
        </w:rPr>
        <w:t xml:space="preserve">Updated deferred-revenue and ticket-sales pacing</w:t>
      </w:r>
    </w:p>
    <w:p>
      <w:pPr>
        <w:pStyle w:val="Compact"/>
        <w:numPr>
          <w:ilvl w:val="0"/>
          <w:numId w:val="1002"/>
        </w:numPr>
      </w:pPr>
      <w:r>
        <w:rPr>
          <w:b/>
          <w:bCs/>
        </w:rPr>
        <w:t xml:space="preserve">The trajectory of legal costs, remedies, and cash exposure</w:t>
      </w:r>
    </w:p>
    <w:p>
      <w:pPr>
        <w:pStyle w:val="Compact"/>
        <w:numPr>
          <w:ilvl w:val="0"/>
          <w:numId w:val="1002"/>
        </w:numPr>
      </w:pPr>
      <w:r>
        <w:rPr>
          <w:b/>
          <w:bCs/>
        </w:rPr>
        <w:t xml:space="preserve">Capex, leverage, and the pace of Venue Nation expansion</w:t>
      </w:r>
    </w:p>
    <w:p>
      <w:r>
        <w:pict>
          <v:rect style="width:0;height:1.5pt" o:hralign="center" o:hrstd="t" o:hr="t"/>
        </w:pict>
      </w:r>
    </w:p>
    <w:bookmarkEnd w:id="9"/>
    <w:bookmarkStart w:id="10" w:name="why-2q-mattersbut-why-3q-may-matter-more"/>
    <w:p>
      <w:pPr>
        <w:pStyle w:val="Heading2"/>
      </w:pPr>
      <w:r>
        <w:t xml:space="preserve">Why 2Q matters—but why 3Q may matter more</w:t>
      </w:r>
    </w:p>
    <w:p>
      <w:pPr>
        <w:pStyle w:val="FirstParagraph"/>
      </w:pPr>
      <w:r>
        <w:t xml:space="preserve">Live Nation’s Concerts and Sponsorship businesses are highly seasonal, with outdoor concerts and festivals concentrated from May through October. Historically, Q2 is a major earnings quarter: in</w:t>
      </w:r>
      <w:r>
        <w:t xml:space="preserve"> </w:t>
      </w:r>
      <w:r>
        <w:rPr>
          <w:b/>
          <w:bCs/>
        </w:rPr>
        <w:t xml:space="preserve">2Q25</w:t>
      </w:r>
      <w:r>
        <w:t xml:space="preserve">, LYV delivered</w:t>
      </w:r>
      <w:r>
        <w:t xml:space="preserve"> </w:t>
      </w:r>
      <m:oMath>
        <m:r>
          <m:t>7.0</m:t>
        </m:r>
        <m:r>
          <m:t>b</m:t>
        </m:r>
        <m:r>
          <m:t>n</m:t>
        </m:r>
        <m:r>
          <m:t>o</m:t>
        </m:r>
        <m:r>
          <m:t>f</m:t>
        </m:r>
        <m:r>
          <m:t>r</m:t>
        </m:r>
        <m:r>
          <m:t>e</m:t>
        </m:r>
        <m:r>
          <m:t>v</m:t>
        </m:r>
        <m:r>
          <m:t>e</m:t>
        </m:r>
        <m:r>
          <m:t>n</m:t>
        </m:r>
        <m:r>
          <m:t>u</m:t>
        </m:r>
        <m:r>
          <m:t>e</m:t>
        </m:r>
        <m:r>
          <m:rPr>
            <m:sty m:val="p"/>
          </m:rPr>
          <m:t>*</m:t>
        </m:r>
        <m:r>
          <m:rPr>
            <m:sty m:val="p"/>
          </m:rPr>
          <m:t>*</m:t>
        </m:r>
        <m:r>
          <m:t>a</m:t>
        </m:r>
        <m:r>
          <m:t>n</m:t>
        </m:r>
        <m:r>
          <m:t>d</m:t>
        </m:r>
        <m:r>
          <m:rPr>
            <m:sty m:val="p"/>
          </m:rPr>
          <m:t>*</m:t>
        </m:r>
        <m:r>
          <m:rPr>
            <m:sty m:val="p"/>
          </m:rPr>
          <m:t>*</m:t>
        </m:r>
      </m:oMath>
      <w:r>
        <w:rPr>
          <w:b/>
          <w:bCs/>
        </w:rPr>
        <w:t xml:space="preserve">798m of AOI</w:t>
      </w:r>
      <w:r>
        <w:t xml:space="preserve">, including Concerts AOI of</w:t>
      </w:r>
      <w:r>
        <w:t xml:space="preserve"> </w:t>
      </w:r>
      <w:r>
        <w:rPr>
          <w:b/>
          <w:bCs/>
        </w:rPr>
        <w:t xml:space="preserve">$359m</w:t>
      </w:r>
      <w:r>
        <w:t xml:space="preserve">.</w:t>
      </w:r>
    </w:p>
    <w:p>
      <w:pPr>
        <w:pStyle w:val="BodyText"/>
      </w:pPr>
      <w:r>
        <w:t xml:space="preserve">However, management explicitly flagged an unusual 2026 cadence:</w:t>
      </w:r>
    </w:p>
    <w:p>
      <w:pPr>
        <w:pStyle w:val="Compact"/>
        <w:numPr>
          <w:ilvl w:val="0"/>
          <w:numId w:val="1003"/>
        </w:numPr>
      </w:pPr>
      <w:r>
        <w:t xml:space="preserve">Stronger</w:t>
      </w:r>
      <w:r>
        <w:t xml:space="preserve"> </w:t>
      </w:r>
      <w:r>
        <w:rPr>
          <w:b/>
          <w:bCs/>
        </w:rPr>
        <w:t xml:space="preserve">third-party arena</w:t>
      </w:r>
      <w:r>
        <w:t xml:space="preserve"> </w:t>
      </w:r>
      <w:r>
        <w:t xml:space="preserve">fan growth is expected in Q2;</w:t>
      </w:r>
    </w:p>
    <w:p>
      <w:pPr>
        <w:pStyle w:val="Compact"/>
        <w:numPr>
          <w:ilvl w:val="0"/>
          <w:numId w:val="1003"/>
        </w:numPr>
      </w:pPr>
      <w:r>
        <w:t xml:space="preserve">Roughly</w:t>
      </w:r>
      <w:r>
        <w:t xml:space="preserve"> </w:t>
      </w:r>
      <w:r>
        <w:rPr>
          <w:b/>
          <w:bCs/>
        </w:rPr>
        <w:t xml:space="preserve">70% of amphitheater fan growth</w:t>
      </w:r>
      <w:r>
        <w:t xml:space="preserve"> </w:t>
      </w:r>
      <w:r>
        <w:t xml:space="preserve">is expected in Q3; and</w:t>
      </w:r>
    </w:p>
    <w:p>
      <w:pPr>
        <w:pStyle w:val="Compact"/>
        <w:numPr>
          <w:ilvl w:val="0"/>
          <w:numId w:val="1003"/>
        </w:numPr>
      </w:pPr>
      <w:r>
        <w:rPr>
          <w:b/>
          <w:bCs/>
        </w:rPr>
        <w:t xml:space="preserve">All stadium fan growth</w:t>
      </w:r>
      <w:r>
        <w:t xml:space="preserve"> </w:t>
      </w:r>
      <w:r>
        <w:t xml:space="preserve">is expected in the second half.</w:t>
      </w:r>
    </w:p>
    <w:p>
      <w:pPr>
        <w:pStyle w:val="FirstParagraph"/>
      </w:pPr>
      <w:r>
        <w:t xml:space="preserve">Management also said this mix should lead to particularly strong</w:t>
      </w:r>
      <w:r>
        <w:t xml:space="preserve"> </w:t>
      </w:r>
      <w:r>
        <w:rPr>
          <w:b/>
          <w:bCs/>
        </w:rPr>
        <w:t xml:space="preserve">Q3 AOI</w:t>
      </w:r>
      <w:r>
        <w:t xml:space="preserve">, with Q4 shaping up well on margin. Therefore, a merely solid Q2—especially if Concerts margins do not expand sharply—should not automatically be read as a deterioration in the full-year thesis. Investors should focus on whether the Q2 report reinforces the expected second-half acceleration.</w:t>
      </w:r>
    </w:p>
    <w:p>
      <w:r>
        <w:pict>
          <v:rect style="width:0;height:1.5pt" o:hralign="center" o:hrstd="t" o:hr="t"/>
        </w:pict>
      </w:r>
    </w:p>
    <w:bookmarkEnd w:id="10"/>
    <w:bookmarkStart w:id="11" w:name="core-operating-datapoints-to-watch"/>
    <w:p>
      <w:pPr>
        <w:pStyle w:val="Heading2"/>
      </w:pPr>
      <w:r>
        <w:t xml:space="preserve">Core operating datapoints to watch</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Area</w:t>
            </w:r>
          </w:p>
        </w:tc>
        <w:tc>
          <w:tcPr/>
          <w:p>
            <w:pPr>
              <w:pStyle w:val="Compact"/>
            </w:pPr>
            <w:r>
              <w:t xml:space="preserve">What to watch on July 30</w:t>
            </w:r>
          </w:p>
        </w:tc>
        <w:tc>
          <w:tcPr/>
          <w:p>
            <w:pPr>
              <w:pStyle w:val="Compact"/>
            </w:pPr>
            <w:r>
              <w:t xml:space="preserve">Why it matters</w:t>
            </w:r>
          </w:p>
        </w:tc>
      </w:tr>
      <w:tr>
        <w:tc>
          <w:tcPr/>
          <w:p>
            <w:pPr>
              <w:pStyle w:val="Compact"/>
            </w:pPr>
            <w:r>
              <w:rPr>
                <w:b/>
                <w:bCs/>
              </w:rPr>
              <w:t xml:space="preserve">Concerts revenue / AOI</w:t>
            </w:r>
          </w:p>
        </w:tc>
        <w:tc>
          <w:tcPr/>
          <w:p>
            <w:pPr>
              <w:pStyle w:val="Compact"/>
            </w:pPr>
            <w:r>
              <w:t xml:space="preserve">Fan growth, show count, revenue per fan, AOI margin</w:t>
            </w:r>
          </w:p>
        </w:tc>
        <w:tc>
          <w:tcPr/>
          <w:p>
            <w:pPr>
              <w:pStyle w:val="Compact"/>
            </w:pPr>
            <w:r>
              <w:t xml:space="preserve">The largest segment and primary driver of the 2026 earnings ramp</w:t>
            </w:r>
          </w:p>
        </w:tc>
      </w:tr>
      <w:tr>
        <w:tc>
          <w:tcPr/>
          <w:p>
            <w:pPr>
              <w:pStyle w:val="Compact"/>
            </w:pPr>
            <w:r>
              <w:rPr>
                <w:b/>
                <w:bCs/>
              </w:rPr>
              <w:t xml:space="preserve">Deferred revenue</w:t>
            </w:r>
          </w:p>
        </w:tc>
        <w:tc>
          <w:tcPr/>
          <w:p>
            <w:pPr>
              <w:pStyle w:val="Compact"/>
            </w:pPr>
            <w:r>
              <w:t xml:space="preserve">Event-related deferred revenue versus the $6.6bn recorded at March 31</w:t>
            </w:r>
          </w:p>
        </w:tc>
        <w:tc>
          <w:tcPr/>
          <w:p>
            <w:pPr>
              <w:pStyle w:val="Compact"/>
            </w:pPr>
            <w:r>
              <w:t xml:space="preserve">Best high-level indicator of future Concerts revenue visibility</w:t>
            </w:r>
          </w:p>
        </w:tc>
      </w:tr>
      <w:tr>
        <w:tc>
          <w:tcPr/>
          <w:p>
            <w:pPr>
              <w:pStyle w:val="Compact"/>
            </w:pPr>
            <w:r>
              <w:rPr>
                <w:b/>
                <w:bCs/>
              </w:rPr>
              <w:t xml:space="preserve">Ticket sales pacing</w:t>
            </w:r>
          </w:p>
        </w:tc>
        <w:tc>
          <w:tcPr/>
          <w:p>
            <w:pPr>
              <w:pStyle w:val="Compact"/>
            </w:pPr>
            <w:r>
              <w:t xml:space="preserve">Growth in Live Nation concert tickets sold and Ticketmaster fee-bearing tickets/GTV</w:t>
            </w:r>
          </w:p>
        </w:tc>
        <w:tc>
          <w:tcPr/>
          <w:p>
            <w:pPr>
              <w:pStyle w:val="Compact"/>
            </w:pPr>
            <w:r>
              <w:t xml:space="preserve">Tests demand, artist supply, and pricing/volume momentum</w:t>
            </w:r>
          </w:p>
        </w:tc>
      </w:tr>
      <w:tr>
        <w:tc>
          <w:tcPr/>
          <w:p>
            <w:pPr>
              <w:pStyle w:val="Compact"/>
            </w:pPr>
            <w:r>
              <w:rPr>
                <w:b/>
                <w:bCs/>
              </w:rPr>
              <w:t xml:space="preserve">Amphitheaters</w:t>
            </w:r>
          </w:p>
        </w:tc>
        <w:tc>
          <w:tcPr/>
          <w:p>
            <w:pPr>
              <w:pStyle w:val="Compact"/>
            </w:pPr>
            <w:r>
              <w:t xml:space="preserve">Sell-through, onsite spending, premium sales, cancellations</w:t>
            </w:r>
          </w:p>
        </w:tc>
        <w:tc>
          <w:tcPr/>
          <w:p>
            <w:pPr>
              <w:pStyle w:val="Compact"/>
            </w:pPr>
            <w:r>
              <w:t xml:space="preserve">A key concern after 2025 supply issues; management said 2026 supply and demand were strong entering the season</w:t>
            </w:r>
          </w:p>
        </w:tc>
      </w:tr>
      <w:tr>
        <w:tc>
          <w:tcPr/>
          <w:p>
            <w:pPr>
              <w:pStyle w:val="Compact"/>
            </w:pPr>
            <w:r>
              <w:rPr>
                <w:b/>
                <w:bCs/>
              </w:rPr>
              <w:t xml:space="preserve">Ticketmaster AOI margin</w:t>
            </w:r>
          </w:p>
        </w:tc>
        <w:tc>
          <w:tcPr/>
          <w:p>
            <w:pPr>
              <w:pStyle w:val="Compact"/>
            </w:pPr>
            <w:r>
              <w:t xml:space="preserve">Progress after 1Q’s margin pressure and legal/operational spend</w:t>
            </w:r>
          </w:p>
        </w:tc>
        <w:tc>
          <w:tcPr/>
          <w:p>
            <w:pPr>
              <w:pStyle w:val="Compact"/>
            </w:pPr>
            <w:r>
              <w:t xml:space="preserve">Ticketing is LYV’s highest-margin recurring-like earnings stream</w:t>
            </w:r>
          </w:p>
        </w:tc>
      </w:tr>
      <w:tr>
        <w:tc>
          <w:tcPr/>
          <w:p>
            <w:pPr>
              <w:pStyle w:val="Compact"/>
            </w:pPr>
            <w:r>
              <w:rPr>
                <w:b/>
                <w:bCs/>
              </w:rPr>
              <w:t xml:space="preserve">Sponsorship AOI</w:t>
            </w:r>
          </w:p>
        </w:tc>
        <w:tc>
          <w:tcPr/>
          <w:p>
            <w:pPr>
              <w:pStyle w:val="Compact"/>
            </w:pPr>
            <w:r>
              <w:t xml:space="preserve">Conversion of committed sponsorship sales into revenue and margin</w:t>
            </w:r>
          </w:p>
        </w:tc>
        <w:tc>
          <w:tcPr/>
          <w:p>
            <w:pPr>
              <w:pStyle w:val="Compact"/>
            </w:pPr>
            <w:r>
              <w:t xml:space="preserve">A high-margin segment with 85% of 2026 commitments booked by late April</w:t>
            </w:r>
          </w:p>
        </w:tc>
      </w:tr>
      <w:tr>
        <w:tc>
          <w:tcPr/>
          <w:p>
            <w:pPr>
              <w:pStyle w:val="Compact"/>
            </w:pPr>
            <w:r>
              <w:rPr>
                <w:b/>
                <w:bCs/>
              </w:rPr>
              <w:t xml:space="preserve">2026 outlook</w:t>
            </w:r>
          </w:p>
        </w:tc>
        <w:tc>
          <w:tcPr/>
          <w:p>
            <w:pPr>
              <w:pStyle w:val="Compact"/>
            </w:pPr>
            <w:r>
              <w:t xml:space="preserve">Reaffirmation or revision of double-digit AOI growth, capex, free-cash-flow conversion</w:t>
            </w:r>
          </w:p>
        </w:tc>
        <w:tc>
          <w:tcPr/>
          <w:p>
            <w:pPr>
              <w:pStyle w:val="Compact"/>
            </w:pPr>
            <w:r>
              <w:t xml:space="preserve">The most consequential guidance item for the stock</w:t>
            </w:r>
          </w:p>
        </w:tc>
      </w:tr>
      <w:tr>
        <w:tc>
          <w:tcPr/>
          <w:p>
            <w:pPr>
              <w:pStyle w:val="Compact"/>
            </w:pPr>
            <w:r>
              <w:rPr>
                <w:b/>
                <w:bCs/>
              </w:rPr>
              <w:t xml:space="preserve">Legal/regulatory developments</w:t>
            </w:r>
          </w:p>
        </w:tc>
        <w:tc>
          <w:tcPr/>
          <w:p>
            <w:pPr>
              <w:pStyle w:val="Compact"/>
            </w:pPr>
            <w:r>
              <w:t xml:space="preserve">Expense run rate, remedies, potential incremental accruals, and operating restrictions</w:t>
            </w:r>
          </w:p>
        </w:tc>
        <w:tc>
          <w:tcPr/>
          <w:p>
            <w:pPr>
              <w:pStyle w:val="Compact"/>
            </w:pPr>
            <w:r>
              <w:t xml:space="preserve">The principal non-operating risk and potential valuation constraint</w:t>
            </w:r>
          </w:p>
        </w:tc>
      </w:tr>
    </w:tbl>
    <w:p>
      <w:r>
        <w:pict>
          <v:rect style="width:0;height:1.5pt" o:hralign="center" o:hrstd="t" o:hr="t"/>
        </w:pict>
      </w:r>
    </w:p>
    <w:bookmarkEnd w:id="11"/>
    <w:bookmarkStart w:id="15" w:name="segment-by-segment-preview"/>
    <w:p>
      <w:pPr>
        <w:pStyle w:val="Heading2"/>
      </w:pPr>
      <w:r>
        <w:t xml:space="preserve">Segment-by-segment preview</w:t>
      </w:r>
    </w:p>
    <w:bookmarkStart w:id="12" w:name="X3eb32fbf5ea036d2aef8d1db22acb8c3843be57"/>
    <w:p>
      <w:pPr>
        <w:pStyle w:val="Heading3"/>
      </w:pPr>
      <w:r>
        <w:t xml:space="preserve">1. Concerts: demand looks strong; the issue is earnings conversion and timing</w:t>
      </w:r>
    </w:p>
    <w:p>
      <w:pPr>
        <w:pStyle w:val="FirstParagraph"/>
      </w:pPr>
      <w:r>
        <w:t xml:space="preserve">Concerts posted</w:t>
      </w:r>
      <w:r>
        <w:t xml:space="preserve"> </w:t>
      </w:r>
      <w:r>
        <w:rPr>
          <w:b/>
          <w:bCs/>
        </w:rPr>
        <w:t xml:space="preserve">12% revenue growth</w:t>
      </w:r>
      <w:r>
        <w:t xml:space="preserve"> </w:t>
      </w:r>
      <w:r>
        <w:t xml:space="preserve">in 1Q26, supported by more arena shows in North America and Europe, while fan attendance increased</w:t>
      </w:r>
      <w:r>
        <w:t xml:space="preserve"> </w:t>
      </w:r>
      <w:r>
        <w:rPr>
          <w:b/>
          <w:bCs/>
        </w:rPr>
        <w:t xml:space="preserve">7%</w:t>
      </w:r>
      <w:r>
        <w:t xml:space="preserve"> </w:t>
      </w:r>
      <w:r>
        <w:t xml:space="preserve">to 23.8m. Yet Concerts AOI was only</w:t>
      </w:r>
      <w:r>
        <w:t xml:space="preserve"> </w:t>
      </w:r>
      <w:r>
        <w:rPr>
          <w:b/>
          <w:bCs/>
        </w:rPr>
        <w:t xml:space="preserve">$3m</w:t>
      </w:r>
      <w:r>
        <w:t xml:space="preserve">, down from $7m a year earlier, reflecting the normal low-profit seasonal quarter as well as added costs associated with growth, venues, and staffing.</w:t>
      </w:r>
    </w:p>
    <w:p>
      <w:pPr>
        <w:pStyle w:val="BodyText"/>
      </w:pPr>
      <w:r>
        <w:t xml:space="preserve">The 2Q earnings setup is more favorable:</w:t>
      </w:r>
    </w:p>
    <w:p>
      <w:pPr>
        <w:pStyle w:val="Compact"/>
        <w:numPr>
          <w:ilvl w:val="0"/>
          <w:numId w:val="1004"/>
        </w:numPr>
      </w:pPr>
      <w:r>
        <w:t xml:space="preserve">Large-venue bookings were pacing up high single digits as of late April.</w:t>
      </w:r>
    </w:p>
    <w:p>
      <w:pPr>
        <w:pStyle w:val="Compact"/>
        <w:numPr>
          <w:ilvl w:val="0"/>
          <w:numId w:val="1004"/>
        </w:numPr>
      </w:pPr>
      <w:r>
        <w:t xml:space="preserve">Live Nation concert ticket sales were up 11%.</w:t>
      </w:r>
    </w:p>
    <w:p>
      <w:pPr>
        <w:pStyle w:val="Compact"/>
        <w:numPr>
          <w:ilvl w:val="0"/>
          <w:numId w:val="1004"/>
        </w:numPr>
      </w:pPr>
      <w:r>
        <w:t xml:space="preserve">Management characterized global artist supply as strong across stadiums, arenas, amphitheaters, festivals, and international markets.</w:t>
      </w:r>
    </w:p>
    <w:p>
      <w:pPr>
        <w:pStyle w:val="Compact"/>
        <w:numPr>
          <w:ilvl w:val="0"/>
          <w:numId w:val="1004"/>
        </w:numPr>
      </w:pPr>
      <w:r>
        <w:t xml:space="preserve">Management stated there was no evidence of a broad demand pullback by geography, price point, demographic, or venue type.</w:t>
      </w:r>
    </w:p>
    <w:p>
      <w:pPr>
        <w:pStyle w:val="FirstParagraph"/>
      </w:pPr>
      <w:r>
        <w:rPr>
          <w:b/>
          <w:bCs/>
        </w:rPr>
        <w:t xml:space="preserve">Key question:</w:t>
      </w:r>
      <w:r>
        <w:t xml:space="preserve"> </w:t>
      </w:r>
      <w:r>
        <w:t xml:space="preserve">Can the company translate high ticket volume and fan growth into Concerts AOI growth while maintaining or improving margins? In 2Q25, Concerts AOI grew 33%, establishing a difficult comparison. A healthy result likely requires continued international strength, disciplined artist guarantees/production costs, and favorable mix.</w:t>
      </w:r>
    </w:p>
    <w:bookmarkEnd w:id="12"/>
    <w:bookmarkStart w:id="13" w:name="Xf2464e48a4a867f3fdfa74e4bc8e69cbf957a30"/>
    <w:p>
      <w:pPr>
        <w:pStyle w:val="Heading3"/>
      </w:pPr>
      <w:r>
        <w:t xml:space="preserve">2. Ticketmaster: healthy volumes, but margins face self-imposed and legal costs</w:t>
      </w:r>
    </w:p>
    <w:p>
      <w:pPr>
        <w:pStyle w:val="FirstParagraph"/>
      </w:pPr>
      <w:r>
        <w:t xml:space="preserve">Ticketing revenue rose</w:t>
      </w:r>
      <w:r>
        <w:t xml:space="preserve"> </w:t>
      </w:r>
      <w:r>
        <w:rPr>
          <w:b/>
          <w:bCs/>
        </w:rPr>
        <w:t xml:space="preserve">10%</w:t>
      </w:r>
      <w:r>
        <w:t xml:space="preserve"> </w:t>
      </w:r>
      <w:r>
        <w:t xml:space="preserve">in 1Q26 to $765m, while AOI rose just</w:t>
      </w:r>
      <w:r>
        <w:t xml:space="preserve"> </w:t>
      </w:r>
      <w:r>
        <w:rPr>
          <w:b/>
          <w:bCs/>
        </w:rPr>
        <w:t xml:space="preserve">1%</w:t>
      </w:r>
      <w:r>
        <w:t xml:space="preserve"> </w:t>
      </w:r>
      <w:r>
        <w:t xml:space="preserve">to $256m. Fee-bearing tickets increased</w:t>
      </w:r>
      <w:r>
        <w:t xml:space="preserve"> </w:t>
      </w:r>
      <w:r>
        <w:rPr>
          <w:b/>
          <w:bCs/>
        </w:rPr>
        <w:t xml:space="preserve">4%</w:t>
      </w:r>
      <w:r>
        <w:t xml:space="preserve"> </w:t>
      </w:r>
      <w:r>
        <w:t xml:space="preserve">to 80.6m, and Ticketmaster signed</w:t>
      </w:r>
      <w:r>
        <w:t xml:space="preserve"> </w:t>
      </w:r>
      <w:r>
        <w:rPr>
          <w:b/>
          <w:bCs/>
        </w:rPr>
        <w:t xml:space="preserve">8m net new tickets</w:t>
      </w:r>
      <w:r>
        <w:t xml:space="preserve">, 80% from international markets.</w:t>
      </w:r>
    </w:p>
    <w:p>
      <w:pPr>
        <w:pStyle w:val="BodyText"/>
      </w:pPr>
      <w:r>
        <w:t xml:space="preserve">The margin debate is more complicated than volume:</w:t>
      </w:r>
    </w:p>
    <w:p>
      <w:pPr>
        <w:pStyle w:val="Compact"/>
        <w:numPr>
          <w:ilvl w:val="0"/>
          <w:numId w:val="1005"/>
        </w:numPr>
      </w:pPr>
      <w:r>
        <w:t xml:space="preserve">Ticketmaster incurred roughly</w:t>
      </w:r>
      <w:r>
        <w:t xml:space="preserve"> </w:t>
      </w:r>
      <w:r>
        <w:rPr>
          <w:b/>
          <w:bCs/>
        </w:rPr>
        <w:t xml:space="preserve">$30m</w:t>
      </w:r>
      <w:r>
        <w:t xml:space="preserve"> </w:t>
      </w:r>
      <w:r>
        <w:t xml:space="preserve">of legal and operational-improvement expenses in Q1.</w:t>
      </w:r>
    </w:p>
    <w:p>
      <w:pPr>
        <w:pStyle w:val="Compact"/>
        <w:numPr>
          <w:ilvl w:val="0"/>
          <w:numId w:val="1005"/>
        </w:numPr>
      </w:pPr>
      <w:r>
        <w:t xml:space="preserve">The company expects measures intended to reduce broker/scalper activity to create a</w:t>
      </w:r>
      <w:r>
        <w:t xml:space="preserve"> </w:t>
      </w:r>
      <w:r>
        <w:rPr>
          <w:b/>
          <w:bCs/>
        </w:rPr>
        <w:t xml:space="preserve">mid-single-digit full-year AOI headwind</w:t>
      </w:r>
      <w:r>
        <w:t xml:space="preserve">.</w:t>
      </w:r>
    </w:p>
    <w:p>
      <w:pPr>
        <w:pStyle w:val="Compact"/>
        <w:numPr>
          <w:ilvl w:val="0"/>
          <w:numId w:val="1005"/>
        </w:numPr>
      </w:pPr>
      <w:r>
        <w:t xml:space="preserve">Management expects primary fee-bearing ticket volume to grow mid-single digits for 2026, but full-year Ticketing AOI margin to be similar to 2025.</w:t>
      </w:r>
    </w:p>
    <w:p>
      <w:pPr>
        <w:pStyle w:val="FirstParagraph"/>
      </w:pPr>
      <w:r>
        <w:t xml:space="preserve">This creates a mixed read-through for Q2. Strong primary GTV and ticket volume should support revenue, but investors will want evidence that legal and operational costs are moderating—as management suggested they should over subsequent quarters—and that the structural reduction in secondary activity does not overwhelm primary-ticket growth.</w:t>
      </w:r>
    </w:p>
    <w:bookmarkEnd w:id="13"/>
    <w:bookmarkStart w:id="14" w:name="X3d36bcafabbb72e527552bba966226113f14fa4"/>
    <w:p>
      <w:pPr>
        <w:pStyle w:val="Heading3"/>
      </w:pPr>
      <w:r>
        <w:t xml:space="preserve">3. Sponsorship: the cleanest growth engine</w:t>
      </w:r>
    </w:p>
    <w:p>
      <w:pPr>
        <w:pStyle w:val="FirstParagraph"/>
      </w:pPr>
      <w:r>
        <w:t xml:space="preserve">Sponsorship &amp; Advertising was the standout in 1Q26: revenue increased</w:t>
      </w:r>
      <w:r>
        <w:t xml:space="preserve"> </w:t>
      </w:r>
      <w:r>
        <w:rPr>
          <w:b/>
          <w:bCs/>
        </w:rPr>
        <w:t xml:space="preserve">20%</w:t>
      </w:r>
      <w:r>
        <w:t xml:space="preserve"> </w:t>
      </w:r>
      <w:r>
        <w:t xml:space="preserve">and AOI increased</w:t>
      </w:r>
      <w:r>
        <w:t xml:space="preserve"> </w:t>
      </w:r>
      <w:r>
        <w:rPr>
          <w:b/>
          <w:bCs/>
        </w:rPr>
        <w:t xml:space="preserve">21%</w:t>
      </w:r>
      <w:r>
        <w:t xml:space="preserve">, reaching $165m. Growth was driven by international festivals and additional venue sponsorship.</w:t>
      </w:r>
    </w:p>
    <w:p>
      <w:pPr>
        <w:pStyle w:val="BodyText"/>
      </w:pPr>
      <w:r>
        <w:t xml:space="preserve">The forward indicators remain positive:</w:t>
      </w:r>
    </w:p>
    <w:p>
      <w:pPr>
        <w:pStyle w:val="Compact"/>
        <w:numPr>
          <w:ilvl w:val="0"/>
          <w:numId w:val="1006"/>
        </w:numPr>
      </w:pPr>
      <w:r>
        <w:rPr>
          <w:b/>
          <w:bCs/>
        </w:rPr>
        <w:t xml:space="preserve">85% of 2026 sponsorship commitments</w:t>
      </w:r>
      <w:r>
        <w:t xml:space="preserve"> </w:t>
      </w:r>
      <w:r>
        <w:t xml:space="preserve">had been booked by late April, up double digits.</w:t>
      </w:r>
    </w:p>
    <w:p>
      <w:pPr>
        <w:pStyle w:val="Compact"/>
        <w:numPr>
          <w:ilvl w:val="0"/>
          <w:numId w:val="1006"/>
        </w:numPr>
      </w:pPr>
      <w:r>
        <w:t xml:space="preserve">The company expects double-digit full-year AOI growth.</w:t>
      </w:r>
    </w:p>
    <w:p>
      <w:pPr>
        <w:pStyle w:val="Compact"/>
        <w:numPr>
          <w:ilvl w:val="0"/>
          <w:numId w:val="1006"/>
        </w:numPr>
      </w:pPr>
      <w:r>
        <w:t xml:space="preserve">Venue expansion, naming rights, and premium hospitality should increase monetizable inventory over time.</w:t>
      </w:r>
    </w:p>
    <w:p>
      <w:pPr>
        <w:pStyle w:val="FirstParagraph"/>
      </w:pPr>
      <w:r>
        <w:t xml:space="preserve">For Q2, this segment should remain a high-quality offset if Concerts margin expansion is more back-end loaded. Watch whether management maintains its full-year margin outlook and updates its contracted sponsorship backlog.</w:t>
      </w:r>
    </w:p>
    <w:p>
      <w:r>
        <w:pict>
          <v:rect style="width:0;height:1.5pt" o:hralign="center" o:hrstd="t" o:hr="t"/>
        </w:pict>
      </w:r>
    </w:p>
    <w:bookmarkEnd w:id="14"/>
    <w:bookmarkEnd w:id="15"/>
    <w:bookmarkStart w:id="16" w:name="X6be0ee2205e16eb419c3d6a38cc1287cef391c8"/>
    <w:p>
      <w:pPr>
        <w:pStyle w:val="Heading2"/>
      </w:pPr>
      <w:r>
        <w:t xml:space="preserve">The legal issue remains the dominant risk factor</w:t>
      </w:r>
    </w:p>
    <w:p>
      <w:pPr>
        <w:pStyle w:val="FirstParagraph"/>
      </w:pPr>
      <w:r>
        <w:t xml:space="preserve">LYV recorded a</w:t>
      </w:r>
      <w:r>
        <w:t xml:space="preserve"> </w:t>
      </w:r>
      <m:oMath>
        <m:r>
          <m:t>450</m:t>
        </m:r>
        <m:r>
          <m:t>m</m:t>
        </m:r>
        <m:r>
          <m:t>l</m:t>
        </m:r>
        <m:r>
          <m:t>e</m:t>
        </m:r>
        <m:r>
          <m:t>g</m:t>
        </m:r>
        <m:r>
          <m:t>a</m:t>
        </m:r>
        <m:r>
          <m:t>l</m:t>
        </m:r>
        <m:r>
          <m:t>a</m:t>
        </m:r>
        <m:r>
          <m:t>c</m:t>
        </m:r>
        <m:r>
          <m:t>c</m:t>
        </m:r>
        <m:r>
          <m:t>r</m:t>
        </m:r>
        <m:r>
          <m:t>u</m:t>
        </m:r>
        <m:r>
          <m:t>a</m:t>
        </m:r>
        <m:r>
          <m:t>l</m:t>
        </m:r>
        <m:r>
          <m:t>i</m:t>
        </m:r>
        <m:r>
          <m:t>n</m:t>
        </m:r>
        <m:r>
          <m:t>1</m:t>
        </m:r>
        <m:r>
          <m:t>Q</m:t>
        </m:r>
        <m:r>
          <m:t>26</m:t>
        </m:r>
        <m:r>
          <m:rPr>
            <m:sty m:val="p"/>
          </m:rPr>
          <m:t>*</m:t>
        </m:r>
        <m:r>
          <m:rPr>
            <m:sty m:val="p"/>
          </m:rPr>
          <m:t>*</m:t>
        </m:r>
        <m:r>
          <m:rPr>
            <m:sty m:val="p"/>
          </m:rPr>
          <m:t>,</m:t>
        </m:r>
        <m:r>
          <m:t>w</m:t>
        </m:r>
        <m:r>
          <m:t>h</m:t>
        </m:r>
        <m:r>
          <m:t>i</m:t>
        </m:r>
        <m:r>
          <m:t>c</m:t>
        </m:r>
        <m:r>
          <m:t>h</m:t>
        </m:r>
        <m:r>
          <m:t>t</m:t>
        </m:r>
        <m:r>
          <m:t>u</m:t>
        </m:r>
        <m:r>
          <m:t>r</m:t>
        </m:r>
        <m:r>
          <m:t>n</m:t>
        </m:r>
        <m:r>
          <m:t>e</m:t>
        </m:r>
        <m:r>
          <m:t>d</m:t>
        </m:r>
        <m:r>
          <m:t>r</m:t>
        </m:r>
        <m:r>
          <m:t>e</m:t>
        </m:r>
        <m:r>
          <m:t>p</m:t>
        </m:r>
        <m:r>
          <m:t>o</m:t>
        </m:r>
        <m:r>
          <m:t>r</m:t>
        </m:r>
        <m:r>
          <m:t>t</m:t>
        </m:r>
        <m:r>
          <m:t>e</m:t>
        </m:r>
        <m:r>
          <m:t>d</m:t>
        </m:r>
        <m:r>
          <m:t>o</m:t>
        </m:r>
        <m:r>
          <m:t>p</m:t>
        </m:r>
        <m:r>
          <m:t>e</m:t>
        </m:r>
        <m:r>
          <m:t>r</m:t>
        </m:r>
        <m:r>
          <m:t>a</m:t>
        </m:r>
        <m:r>
          <m:t>t</m:t>
        </m:r>
        <m:r>
          <m:t>i</m:t>
        </m:r>
        <m:r>
          <m:t>n</m:t>
        </m:r>
        <m:r>
          <m:t>g</m:t>
        </m:r>
        <m:r>
          <m:t>i</m:t>
        </m:r>
        <m:r>
          <m:t>n</m:t>
        </m:r>
        <m:r>
          <m:t>c</m:t>
        </m:r>
        <m:r>
          <m:t>o</m:t>
        </m:r>
        <m:r>
          <m:t>m</m:t>
        </m:r>
        <m:r>
          <m:t>e</m:t>
        </m:r>
        <m:r>
          <m:t>i</m:t>
        </m:r>
        <m:r>
          <m:t>n</m:t>
        </m:r>
        <m:r>
          <m:t>t</m:t>
        </m:r>
        <m:r>
          <m:t>o</m:t>
        </m:r>
        <m:r>
          <m:t>a</m:t>
        </m:r>
        <m:r>
          <m:rPr>
            <m:sty m:val="p"/>
          </m:rPr>
          <m:t>*</m:t>
        </m:r>
        <m:r>
          <m:rPr>
            <m:sty m:val="p"/>
          </m:rPr>
          <m:t>*</m:t>
        </m:r>
      </m:oMath>
      <w:r>
        <w:rPr>
          <w:b/>
          <w:bCs/>
        </w:rPr>
        <w:t xml:space="preserve">371m operating loss</w:t>
      </w:r>
      <w:r>
        <w:t xml:space="preserve"> </w:t>
      </w:r>
      <w:r>
        <w:t xml:space="preserve">and reduced EPS by approximately</w:t>
      </w:r>
      <w:r>
        <w:t xml:space="preserve"> </w:t>
      </w:r>
      <w:r>
        <w:rPr>
          <w:b/>
          <w:bCs/>
        </w:rPr>
        <w:t xml:space="preserve">$1.93</w:t>
      </w:r>
      <w:r>
        <w:t xml:space="preserve">. The charge is excluded from AOI, but it is real for GAAP earnings, balance-sheet analysis, and investor sentiment.</w:t>
      </w:r>
    </w:p>
    <w:p>
      <w:pPr>
        <w:pStyle w:val="BodyText"/>
      </w:pPr>
      <w:r>
        <w:t xml:space="preserve">At the end of 1Q, the company had settled with the U.S. Department of Justice subject to court approval, while litigation with other state plaintiffs continued. The company disclosed that a jury returned a verdict for the remaining states in April 2026 and that subsequent proceedings would address post-trial motions and remedies. Management believes the verdict and damages award are legally flawed and intends to challenge them. Separately, the FTC’s ticket-pricing and ticket-broker lawsuit remains ongoing.</w:t>
      </w:r>
    </w:p>
    <w:p>
      <w:pPr>
        <w:pStyle w:val="BodyText"/>
      </w:pPr>
      <w:r>
        <w:t xml:space="preserve">For this report, investors should focus on:</w:t>
      </w:r>
    </w:p>
    <w:p>
      <w:pPr>
        <w:pStyle w:val="Compact"/>
        <w:numPr>
          <w:ilvl w:val="0"/>
          <w:numId w:val="1007"/>
        </w:numPr>
      </w:pPr>
      <w:r>
        <w:t xml:space="preserve">Whether the</w:t>
      </w:r>
      <w:r>
        <w:t xml:space="preserve"> </w:t>
      </w:r>
      <w:r>
        <w:rPr>
          <w:b/>
          <w:bCs/>
        </w:rPr>
        <w:t xml:space="preserve">$450m accrual</w:t>
      </w:r>
      <w:r>
        <w:t xml:space="preserve"> </w:t>
      </w:r>
      <w:r>
        <w:t xml:space="preserve">remains management’s best estimate;</w:t>
      </w:r>
    </w:p>
    <w:p>
      <w:pPr>
        <w:pStyle w:val="Compact"/>
        <w:numPr>
          <w:ilvl w:val="0"/>
          <w:numId w:val="1007"/>
        </w:numPr>
      </w:pPr>
      <w:r>
        <w:t xml:space="preserve">Any change to expected</w:t>
      </w:r>
      <w:r>
        <w:t xml:space="preserve"> </w:t>
      </w:r>
      <w:r>
        <w:rPr>
          <w:b/>
          <w:bCs/>
        </w:rPr>
        <w:t xml:space="preserve">cash timing</w:t>
      </w:r>
      <w:r>
        <w:t xml:space="preserve">;</w:t>
      </w:r>
    </w:p>
    <w:p>
      <w:pPr>
        <w:pStyle w:val="Compact"/>
        <w:numPr>
          <w:ilvl w:val="0"/>
          <w:numId w:val="1007"/>
        </w:numPr>
      </w:pPr>
      <w:r>
        <w:t xml:space="preserve">Whether legal fees have begun to moderate from the elevated 1Q level;</w:t>
      </w:r>
    </w:p>
    <w:p>
      <w:pPr>
        <w:pStyle w:val="Compact"/>
        <w:numPr>
          <w:ilvl w:val="0"/>
          <w:numId w:val="1007"/>
        </w:numPr>
      </w:pPr>
      <w:r>
        <w:t xml:space="preserve">Any added detail on operational remedies, including venue contracting, ticketing practices, fee transparency, or ticket-resale controls; and</w:t>
      </w:r>
    </w:p>
    <w:p>
      <w:pPr>
        <w:pStyle w:val="Compact"/>
        <w:numPr>
          <w:ilvl w:val="0"/>
          <w:numId w:val="1007"/>
        </w:numPr>
      </w:pPr>
      <w:r>
        <w:t xml:space="preserve">Whether legal developments create risks to Ticketmaster’s long-term margin framework or Concerts’ venue economics.</w:t>
      </w:r>
    </w:p>
    <w:p>
      <w:pPr>
        <w:pStyle w:val="FirstParagraph"/>
      </w:pPr>
      <w:r>
        <w:t xml:space="preserve">This is the clearest source of asymmetry: operating results can remain excellent while the stock’s multiple remains constrained if remedies or financial exposure become more onerous than expected.</w:t>
      </w:r>
    </w:p>
    <w:p>
      <w:r>
        <w:pict>
          <v:rect style="width:0;height:1.5pt" o:hralign="center" o:hrstd="t" o:hr="t"/>
        </w:pict>
      </w:r>
    </w:p>
    <w:bookmarkEnd w:id="16"/>
    <w:bookmarkStart w:id="17" w:name="X6c7d688ae26afae3987c3cee74815cc90c842bc"/>
    <w:p>
      <w:pPr>
        <w:pStyle w:val="Heading2"/>
      </w:pPr>
      <w:r>
        <w:t xml:space="preserve">Capital allocation: a productive investment cycle, but cash flow must be monitored</w:t>
      </w:r>
    </w:p>
    <w:p>
      <w:pPr>
        <w:pStyle w:val="FirstParagraph"/>
      </w:pPr>
      <w:r>
        <w:t xml:space="preserve">Live Nation is in an aggressive venue-expansion phase. It expects</w:t>
      </w:r>
      <w:r>
        <w:t xml:space="preserve"> </w:t>
      </w:r>
      <m:oMath>
        <m:r>
          <m:t>1.1</m:t>
        </m:r>
        <m:r>
          <m:t>b</m:t>
        </m:r>
        <m:r>
          <m:t>n</m:t>
        </m:r>
        <m:r>
          <m:rPr>
            <m:sty m:val="p"/>
          </m:rPr>
          <m:t>–</m:t>
        </m:r>
      </m:oMath>
      <w:r>
        <w:rPr>
          <w:b/>
          <w:bCs/>
        </w:rPr>
        <w:t xml:space="preserve">1.2bn</w:t>
      </w:r>
      <w:r>
        <w:t xml:space="preserve"> </w:t>
      </w:r>
      <w:r>
        <w:t xml:space="preserve">of 2026 capex, including roughly</w:t>
      </w:r>
      <w:r>
        <w:t xml:space="preserve"> </w:t>
      </w:r>
      <m:oMath>
        <m:r>
          <m:t>800</m:t>
        </m:r>
        <m:r>
          <m:t>m</m:t>
        </m:r>
        <m:r>
          <m:rPr>
            <m:sty m:val="p"/>
          </m:rPr>
          <m:t>–</m:t>
        </m:r>
      </m:oMath>
      <w:r>
        <w:rPr>
          <w:b/>
          <w:bCs/>
        </w:rPr>
        <w:t xml:space="preserve">850m</w:t>
      </w:r>
      <w:r>
        <w:t xml:space="preserve"> </w:t>
      </w:r>
      <w:r>
        <w:t xml:space="preserve">for venue expansion and enhancements. Management expects about</w:t>
      </w:r>
      <w:r>
        <w:t xml:space="preserve"> </w:t>
      </w:r>
      <w:r>
        <w:rPr>
          <w:b/>
          <w:bCs/>
        </w:rPr>
        <w:t xml:space="preserve">$250m</w:t>
      </w:r>
      <w:r>
        <w:t xml:space="preserve"> </w:t>
      </w:r>
      <w:r>
        <w:t xml:space="preserve">of this year’s capex to be externally funded through joint ventures, sponsorship agreements, and other sources.</w:t>
      </w:r>
    </w:p>
    <w:p>
      <w:pPr>
        <w:pStyle w:val="BodyText"/>
      </w:pPr>
      <w:r>
        <w:t xml:space="preserve">The strategic case is compelling:</w:t>
      </w:r>
    </w:p>
    <w:p>
      <w:pPr>
        <w:pStyle w:val="Compact"/>
        <w:numPr>
          <w:ilvl w:val="0"/>
          <w:numId w:val="1008"/>
        </w:numPr>
      </w:pPr>
      <w:r>
        <w:t xml:space="preserve">New venues are intended to expand capacity, improve control over the fan experience, and create more premium, food-and-beverage, sponsorship, and ticketing revenue.</w:t>
      </w:r>
    </w:p>
    <w:p>
      <w:pPr>
        <w:pStyle w:val="Compact"/>
        <w:numPr>
          <w:ilvl w:val="0"/>
          <w:numId w:val="1008"/>
        </w:numPr>
      </w:pPr>
      <w:r>
        <w:t xml:space="preserve">Management targets</w:t>
      </w:r>
      <w:r>
        <w:t xml:space="preserve"> </w:t>
      </w:r>
      <w:r>
        <w:rPr>
          <w:b/>
          <w:bCs/>
        </w:rPr>
        <w:t xml:space="preserve">20%+ IRRs</w:t>
      </w:r>
      <w:r>
        <w:t xml:space="preserve"> </w:t>
      </w:r>
      <w:r>
        <w:t xml:space="preserve">on venue investments.</w:t>
      </w:r>
    </w:p>
    <w:p>
      <w:pPr>
        <w:pStyle w:val="Compact"/>
        <w:numPr>
          <w:ilvl w:val="0"/>
          <w:numId w:val="1008"/>
        </w:numPr>
      </w:pPr>
      <w:r>
        <w:t xml:space="preserve">New openings and acquisitions—including venues in Santiago, Milan, and Bangkok—should lift Venue Nation fan capacity.</w:t>
      </w:r>
    </w:p>
    <w:p>
      <w:pPr>
        <w:pStyle w:val="FirstParagraph"/>
      </w:pPr>
      <w:r>
        <w:t xml:space="preserve">But the earnings call should also address the trade-off:</w:t>
      </w:r>
    </w:p>
    <w:p>
      <w:pPr>
        <w:pStyle w:val="Compact"/>
        <w:numPr>
          <w:ilvl w:val="0"/>
          <w:numId w:val="1009"/>
        </w:numPr>
      </w:pPr>
      <w:r>
        <w:t xml:space="preserve">1Q free cash flow—adjusted was</w:t>
      </w:r>
      <w:r>
        <w:t xml:space="preserve"> </w:t>
      </w:r>
      <w:r>
        <w:rPr>
          <w:b/>
          <w:bCs/>
        </w:rPr>
        <w:t xml:space="preserve">$175m</w:t>
      </w:r>
      <w:r>
        <w:t xml:space="preserve">, down from $216m a year earlier.</w:t>
      </w:r>
    </w:p>
    <w:p>
      <w:pPr>
        <w:pStyle w:val="Compact"/>
        <w:numPr>
          <w:ilvl w:val="0"/>
          <w:numId w:val="1009"/>
        </w:numPr>
      </w:pPr>
      <w:r>
        <w:t xml:space="preserve">Net debt was approximately</w:t>
      </w:r>
      <w:r>
        <w:t xml:space="preserve"> </w:t>
      </w:r>
      <w:r>
        <w:rPr>
          <w:b/>
          <w:bCs/>
        </w:rPr>
        <w:t xml:space="preserve">$8.5bn</w:t>
      </w:r>
      <w:r>
        <w:t xml:space="preserve"> </w:t>
      </w:r>
      <w:r>
        <w:t xml:space="preserve">at March 31, 2026.</w:t>
      </w:r>
    </w:p>
    <w:p>
      <w:pPr>
        <w:pStyle w:val="Compact"/>
        <w:numPr>
          <w:ilvl w:val="0"/>
          <w:numId w:val="1009"/>
        </w:numPr>
      </w:pPr>
      <w:r>
        <w:t xml:space="preserve">The company had a weighted average debt cost of</w:t>
      </w:r>
      <w:r>
        <w:t xml:space="preserve"> </w:t>
      </w:r>
      <w:r>
        <w:rPr>
          <w:b/>
          <w:bCs/>
        </w:rPr>
        <w:t xml:space="preserve">4.2%</w:t>
      </w:r>
      <w:r>
        <w:t xml:space="preserve">, with most debt fixed, and leverage of</w:t>
      </w:r>
      <w:r>
        <w:t xml:space="preserve"> </w:t>
      </w:r>
      <w:r>
        <w:rPr>
          <w:b/>
          <w:bCs/>
        </w:rPr>
        <w:t xml:space="preserve">3.6x</w:t>
      </w:r>
      <w:r>
        <w:t xml:space="preserve">.</w:t>
      </w:r>
    </w:p>
    <w:p>
      <w:pPr>
        <w:pStyle w:val="FirstParagraph"/>
      </w:pPr>
      <w:r>
        <w:t xml:space="preserve">The key debate is not liquidity—LYV had $1.7bn of company-defined “free cash” at quarter-end—but whether the investment cycle continues to earn returns fast enough to support leverage, amortization, and higher interest burden without limiting optionality.</w:t>
      </w:r>
    </w:p>
    <w:p>
      <w:r>
        <w:pict>
          <v:rect style="width:0;height:1.5pt" o:hralign="center" o:hrstd="t" o:hr="t"/>
        </w:pict>
      </w:r>
    </w:p>
    <w:bookmarkEnd w:id="17"/>
    <w:bookmarkStart w:id="20" w:name="X11809956363ddf8f141e6c6cd903814ba5b0b3e"/>
    <w:p>
      <w:pPr>
        <w:pStyle w:val="Heading2"/>
      </w:pPr>
      <w:r>
        <w:t xml:space="preserve">Earnings framework: what would constitute a good versus weak print?</w:t>
      </w:r>
    </w:p>
    <w:bookmarkStart w:id="18" w:name="a-constructive-outcome"/>
    <w:p>
      <w:pPr>
        <w:pStyle w:val="Heading3"/>
      </w:pPr>
      <w:r>
        <w:t xml:space="preserve">A constructive outcome</w:t>
      </w:r>
    </w:p>
    <w:p>
      <w:pPr>
        <w:pStyle w:val="Compact"/>
        <w:numPr>
          <w:ilvl w:val="0"/>
          <w:numId w:val="1010"/>
        </w:numPr>
      </w:pPr>
      <w:r>
        <w:t xml:space="preserve">Reaffirmed</w:t>
      </w:r>
      <w:r>
        <w:t xml:space="preserve"> </w:t>
      </w:r>
      <w:r>
        <w:rPr>
          <w:b/>
          <w:bCs/>
        </w:rPr>
        <w:t xml:space="preserve">double-digit 2026 AOI growth</w:t>
      </w:r>
      <w:r>
        <w:t xml:space="preserve"> </w:t>
      </w:r>
      <w:r>
        <w:t xml:space="preserve">outlook;</w:t>
      </w:r>
    </w:p>
    <w:p>
      <w:pPr>
        <w:pStyle w:val="Compact"/>
        <w:numPr>
          <w:ilvl w:val="0"/>
          <w:numId w:val="1010"/>
        </w:numPr>
      </w:pPr>
      <w:r>
        <w:t xml:space="preserve">Continued double-digit deferred-revenue growth;</w:t>
      </w:r>
    </w:p>
    <w:p>
      <w:pPr>
        <w:pStyle w:val="Compact"/>
        <w:numPr>
          <w:ilvl w:val="0"/>
          <w:numId w:val="1010"/>
        </w:numPr>
      </w:pPr>
      <w:r>
        <w:t xml:space="preserve">Concert ticket sales and fan attendance growth consistent with high-single-digit or better full-year expectations;</w:t>
      </w:r>
    </w:p>
    <w:p>
      <w:pPr>
        <w:pStyle w:val="Compact"/>
        <w:numPr>
          <w:ilvl w:val="0"/>
          <w:numId w:val="1010"/>
        </w:numPr>
      </w:pPr>
      <w:r>
        <w:t xml:space="preserve">Concerts margin commentary that supports a substantial Q3 acceleration;</w:t>
      </w:r>
    </w:p>
    <w:p>
      <w:pPr>
        <w:pStyle w:val="Compact"/>
        <w:numPr>
          <w:ilvl w:val="0"/>
          <w:numId w:val="1010"/>
        </w:numPr>
      </w:pPr>
      <w:r>
        <w:t xml:space="preserve">Ticketmaster primary-ticket growth strong enough to offset secondary-market headwinds;</w:t>
      </w:r>
    </w:p>
    <w:p>
      <w:pPr>
        <w:pStyle w:val="Compact"/>
        <w:numPr>
          <w:ilvl w:val="0"/>
          <w:numId w:val="1010"/>
        </w:numPr>
      </w:pPr>
      <w:r>
        <w:t xml:space="preserve">Sponsorship momentum remains double digit;</w:t>
      </w:r>
    </w:p>
    <w:p>
      <w:pPr>
        <w:pStyle w:val="Compact"/>
        <w:numPr>
          <w:ilvl w:val="0"/>
          <w:numId w:val="1010"/>
        </w:numPr>
      </w:pPr>
      <w:r>
        <w:t xml:space="preserve">No material increase in legal accruals, expected cash exposure, or remedy-related disruption.</w:t>
      </w:r>
    </w:p>
    <w:bookmarkEnd w:id="18"/>
    <w:bookmarkStart w:id="19" w:name="a-more-challenging-outcome"/>
    <w:p>
      <w:pPr>
        <w:pStyle w:val="Heading3"/>
      </w:pPr>
      <w:r>
        <w:t xml:space="preserve">A more challenging outcome</w:t>
      </w:r>
    </w:p>
    <w:p>
      <w:pPr>
        <w:pStyle w:val="Compact"/>
        <w:numPr>
          <w:ilvl w:val="0"/>
          <w:numId w:val="1011"/>
        </w:numPr>
      </w:pPr>
      <w:r>
        <w:t xml:space="preserve">Weak amphitheater sell-through, softer onsite spending, elevated cancellations, or a cautious consumer-demand read;</w:t>
      </w:r>
    </w:p>
    <w:p>
      <w:pPr>
        <w:pStyle w:val="Compact"/>
        <w:numPr>
          <w:ilvl w:val="0"/>
          <w:numId w:val="1011"/>
        </w:numPr>
      </w:pPr>
      <w:r>
        <w:t xml:space="preserve">A reduction in Concerts AOI-growth expectations or indications that artist/production costs are rising faster than revenue;</w:t>
      </w:r>
    </w:p>
    <w:p>
      <w:pPr>
        <w:pStyle w:val="Compact"/>
        <w:numPr>
          <w:ilvl w:val="0"/>
          <w:numId w:val="1011"/>
        </w:numPr>
      </w:pPr>
      <w:r>
        <w:t xml:space="preserve">Ticketmaster AOI margin deterioration beyond the previously flagged headwinds;</w:t>
      </w:r>
    </w:p>
    <w:p>
      <w:pPr>
        <w:pStyle w:val="Compact"/>
        <w:numPr>
          <w:ilvl w:val="0"/>
          <w:numId w:val="1011"/>
        </w:numPr>
      </w:pPr>
      <w:r>
        <w:t xml:space="preserve">A material upward revision to legal liability, legal costs, or compliance-related spending;</w:t>
      </w:r>
    </w:p>
    <w:p>
      <w:pPr>
        <w:pStyle w:val="Compact"/>
        <w:numPr>
          <w:ilvl w:val="0"/>
          <w:numId w:val="1011"/>
        </w:numPr>
      </w:pPr>
      <w:r>
        <w:t xml:space="preserve">Higher capex without corresponding improvement in free-cash-flow conversion or venue-return visibility;</w:t>
      </w:r>
    </w:p>
    <w:p>
      <w:pPr>
        <w:pStyle w:val="Compact"/>
        <w:numPr>
          <w:ilvl w:val="0"/>
          <w:numId w:val="1011"/>
        </w:numPr>
      </w:pPr>
      <w:r>
        <w:t xml:space="preserve">Any indication that second-half stadium and amphitheater timing is shifting later or becoming less certain.</w:t>
      </w:r>
    </w:p>
    <w:p>
      <w:r>
        <w:pict>
          <v:rect style="width:0;height:1.5pt" o:hralign="center" o:hrstd="t" o:hr="t"/>
        </w:pict>
      </w:r>
    </w:p>
    <w:bookmarkEnd w:id="19"/>
    <w:bookmarkEnd w:id="20"/>
    <w:bookmarkStart w:id="21" w:name="bottom-line"/>
    <w:p>
      <w:pPr>
        <w:pStyle w:val="Heading2"/>
      </w:pPr>
      <w:r>
        <w:t xml:space="preserve">Bottom line</w:t>
      </w:r>
    </w:p>
    <w:p>
      <w:pPr>
        <w:pStyle w:val="FirstParagraph"/>
      </w:pPr>
      <w:r>
        <w:t xml:space="preserve">The operating case going into 2Q26 is strong: Live Nation has record deferred revenue, substantial booked show volume, double-digit ticket-sales growth, strong sponsorship commitments, and management’s maintained expectation for double-digit AOI growth in 2026. The report should reinforce that the company is positioned for its largest profit contribution in the second half—particularly Q3—rather than needing to prove the demand backdrop from scratch.</w:t>
      </w:r>
    </w:p>
    <w:p>
      <w:pPr>
        <w:pStyle w:val="BodyText"/>
      </w:pPr>
      <w:r>
        <w:t xml:space="preserve">The principal risk is that LYV’s strong operational execution is overshadowed by the legal/regulatory process. Accordingly, the most important earnings-call question is whether management can pair healthy Q2 activity with a credible explanation that legal expense, remedy risk, and cash exposure remain contained—while preserving the company’s ability to compound earnings through global venue expansion and Ticketmaster growth.</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2026-07-29T19:23:52Z</dcterms:created>
  <dcterms:modified xsi:type="dcterms:W3CDTF">2026-07-29T19:23:52Z</dcterms:modified>
</cp:coreProperties>
</file>

<file path=docProps/custom.xml><?xml version="1.0" encoding="utf-8"?>
<Properties xmlns="http://schemas.openxmlformats.org/officeDocument/2006/custom-properties" xmlns:vt="http://schemas.openxmlformats.org/officeDocument/2006/docPropsVTypes"/>
</file>