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Live Nation Entertainment (LYV)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Live Nation Entertainment, Inc.</w:t>
            </w:r>
          </w:p>
        </w:tc>
      </w:tr>
      <w:tr>
        <w:tc>
          <w:tcPr>
            <w:tcW w:type="dxa" w:w="4320"/>
          </w:tcPr>
          <w:p>
            <w:r>
              <w:rPr>
                <w:rFonts w:ascii="Calibri" w:hAnsi="Calibri"/>
                <w:b/>
                <w:sz w:val="22"/>
              </w:rPr>
              <w:t>Ticker</w:t>
            </w:r>
          </w:p>
        </w:tc>
        <w:tc>
          <w:tcPr>
            <w:tcW w:type="dxa" w:w="4320"/>
          </w:tcPr>
          <w:p>
            <w:r>
              <w:rPr>
                <w:rFonts w:ascii="Calibri" w:hAnsi="Calibri"/>
                <w:sz w:val="22"/>
              </w:rPr>
              <w:t>LYV (NYSE)</w:t>
            </w:r>
          </w:p>
        </w:tc>
      </w:tr>
      <w:tr>
        <w:tc>
          <w:tcPr>
            <w:tcW w:type="dxa" w:w="4320"/>
          </w:tcPr>
          <w:p>
            <w:r>
              <w:rPr>
                <w:rFonts w:ascii="Calibri" w:hAnsi="Calibri"/>
                <w:b/>
                <w:sz w:val="22"/>
              </w:rPr>
              <w:t>Upcoming Earnings Date</w:t>
            </w:r>
          </w:p>
        </w:tc>
        <w:tc>
          <w:tcPr>
            <w:tcW w:type="dxa" w:w="4320"/>
          </w:tcPr>
          <w:p>
            <w:r>
              <w:rPr>
                <w:rFonts w:ascii="Calibri" w:hAnsi="Calibri"/>
                <w:sz w:val="22"/>
              </w:rPr>
              <w:t>August 6, 2026 (After Market Close)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Last Earnings</w:t>
            </w:r>
          </w:p>
        </w:tc>
        <w:tc>
          <w:tcPr>
            <w:tcW w:type="dxa" w:w="4320"/>
          </w:tcPr>
          <w:p>
            <w:r>
              <w:rPr>
                <w:rFonts w:ascii="Calibri" w:hAnsi="Calibri"/>
                <w:sz w:val="22"/>
              </w:rPr>
              <w:t>May 5, 2026 (Q1 2026)</w:t>
            </w:r>
          </w:p>
        </w:tc>
      </w:tr>
      <w:tr>
        <w:tc>
          <w:tcPr>
            <w:tcW w:type="dxa" w:w="4320"/>
          </w:tcPr>
          <w:p>
            <w:r>
              <w:rPr>
                <w:rFonts w:ascii="Calibri" w:hAnsi="Calibri"/>
                <w:b/>
                <w:sz w:val="22"/>
              </w:rPr>
              <w:t>Prepared Date</w:t>
            </w:r>
          </w:p>
        </w:tc>
        <w:tc>
          <w:tcPr>
            <w:tcW w:type="dxa" w:w="4320"/>
          </w:tcPr>
          <w:p>
            <w:r>
              <w:rPr>
                <w:rFonts w:ascii="Calibri" w:hAnsi="Calibri"/>
                <w:sz w:val="22"/>
              </w:rPr>
              <w:t>July 29, 2026</w:t>
            </w:r>
          </w:p>
        </w:tc>
      </w:tr>
      <w:tr>
        <w:tc>
          <w:tcPr>
            <w:tcW w:type="dxa" w:w="4320"/>
          </w:tcPr>
          <w:p>
            <w:r>
              <w:rPr>
                <w:rFonts w:ascii="Calibri" w:hAnsi="Calibri"/>
                <w:b/>
                <w:sz w:val="22"/>
              </w:rPr>
              <w:t>Sector ETF Used</w:t>
            </w:r>
          </w:p>
        </w:tc>
        <w:tc>
          <w:tcPr>
            <w:tcW w:type="dxa" w:w="4320"/>
          </w:tcPr>
          <w:p>
            <w:r>
              <w:rPr>
                <w:rFonts w:ascii="Calibri" w:hAnsi="Calibri"/>
                <w:sz w:val="22"/>
              </w:rPr>
              <w:t>XLC (Communication Services Select Sector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constructive — consensus is a manageable bar with revenue expected at ~$7.56B (+7.8% YoY) and operating AOI at ~$791M — but the real story is whether the summer amphitheater and stadium ramp delivers the Q3-heavy AOI phasing management telegraphed, making Q2 a pass-through quarter where demand signals (deferred revenue, ticket sales) matter more than the headline beat.</w:t>
      </w:r>
    </w:p>
    <w:p>
      <w:r>
        <w:rPr>
          <w:rFonts w:ascii="Calibri" w:hAnsi="Calibri"/>
          <w:color w:val="525866"/>
          <w:sz w:val="22"/>
        </w:rPr>
        <w:t xml:space="preserve">The bar into Q2 2026 is achievable but not low: consensus expects revenue of ~$7.56B (+7.8% YoY) and operating income of ~$791M, both representing solid growth off a strong prior-year comp. </w:t>
      </w:r>
      <w:r>
        <w:rPr>
          <w:rFonts w:ascii="Calibri" w:hAnsi="Calibri"/>
          <w:b/>
          <w:color w:val="525866"/>
          <w:sz w:val="22"/>
        </w:rPr>
        <w:t>Management's tone coming out of Q1 was unambiguously confident</w:t>
      </w:r>
      <w:r>
        <w:rPr>
          <w:rFonts w:ascii="Calibri" w:hAnsi="Calibri"/>
          <w:color w:val="525866"/>
          <w:sz w:val="22"/>
        </w:rPr>
        <w:t xml:space="preserve"> — CEO Rapino cited double-digit ticket sales growth (~119M tickets sold as of late May, up from 107M at Q1 earnings), record event-related deferred revenue (the largest balance in company history), and no demand pullback across any geography, genre, or venue type, explicitly dismissing 'blue dot fever' cancellation concerns as scalper-driven noise with cancellation rates tracking at or below the historical 1–2% norm. Estimate revisions have been essentially flat since the Q1 print (consensus revenue barely moved from $7.555B to $7.559B), suggesting the street is comfortable with management's framing and not pricing in incremental risk. </w:t>
      </w:r>
      <w:r>
        <w:rPr>
          <w:rFonts w:ascii="Calibri" w:hAnsi="Calibri"/>
          <w:b/>
          <w:color w:val="525866"/>
          <w:sz w:val="22"/>
        </w:rPr>
        <w:t>The stock has outperformed sharply since Q1 earnings (+17.3% vs. XLC -5.3% and SPY +0.8%)</w:t>
      </w:r>
      <w:r>
        <w:rPr>
          <w:rFonts w:ascii="Calibri" w:hAnsi="Calibri"/>
          <w:color w:val="525866"/>
          <w:sz w:val="22"/>
        </w:rPr>
        <w:t>, meaning some beat is already priced in and the stock needs a clean print plus strong Q3 demand signals to sustain momentum. The single biggest wildcard is the legal overhang: JMOL/Rule 59 reply briefs were filed July 2 and the judge has not yet ruled, while 21 plaintiff states are pushing for discovery into the DOJ settlement — any adverse ruling or escalation in the remedies phase could overshadow an operationally strong quarter.</w:t>
      </w:r>
    </w:p>
    <w:p>
      <w:r>
        <w:rPr>
          <w:rFonts w:ascii="Calibri" w:hAnsi="Calibri"/>
          <w:b/>
          <w:color w:val="525866"/>
          <w:sz w:val="22"/>
        </w:rPr>
        <w:t xml:space="preserve">Bar: </w:t>
      </w:r>
      <w:r>
        <w:rPr>
          <w:rFonts w:ascii="Calibri" w:hAnsi="Calibri"/>
          <w:color w:val="525866"/>
          <w:sz w:val="22"/>
        </w:rPr>
        <w:t>Consensus is a moderate bar — revenue growth of ~7.8% YoY is below the 16.3% recorded in Q2 2025, reflecting the Q3-heavy calendar skew management explicitly guided. The key KPI is Total Fans, where consensus sits at ~46.8M vs. 44.2M in Q2 2025 (+5.8% YoY), a number management's double-digit ticket sales commentary suggests is achievable.</w:t>
      </w:r>
    </w:p>
    <w:p>
      <w:r>
        <w:rPr>
          <w:rFonts w:ascii="Calibri" w:hAnsi="Calibri"/>
          <w:b/>
          <w:color w:val="525866"/>
          <w:sz w:val="22"/>
        </w:rPr>
        <w:t xml:space="preserve">Guidance/Tone: </w:t>
      </w:r>
      <w:r>
        <w:rPr>
          <w:rFonts w:ascii="Calibri" w:hAnsi="Calibri"/>
          <w:color w:val="525866"/>
          <w:sz w:val="22"/>
        </w:rPr>
        <w:t>Management's posture has been consistently confident since Q1 earnings. At the May 2026 investor conference, Rapino doubled down on demand strength, cited ~11.5M tickets sold in the three weeks post-Q1 earnings (more than the same period last year), and noted no trade-down behavior in early amphitheater on-site spending. No formal guidance revision has been issued.</w:t>
      </w:r>
    </w:p>
    <w:p>
      <w:r>
        <w:rPr>
          <w:rFonts w:ascii="Calibri" w:hAnsi="Calibri"/>
          <w:b/>
          <w:color w:val="525866"/>
          <w:sz w:val="22"/>
        </w:rPr>
        <w:t xml:space="preserve">Estimate Trajectory: </w:t>
      </w:r>
      <w:r>
        <w:rPr>
          <w:rFonts w:ascii="Calibri" w:hAnsi="Calibri"/>
          <w:color w:val="525866"/>
          <w:sz w:val="22"/>
        </w:rPr>
        <w:t>Revisions have been flat to slightly down (EPS consensus down ~0.5% over 30 days per public sources), tracking management's guidance rather than diverging. The gap between consensus and guidance is minimal, representing neither meaningful cushion nor risk.</w:t>
      </w:r>
    </w:p>
    <w:p>
      <w:r>
        <w:rPr>
          <w:rFonts w:ascii="Calibri" w:hAnsi="Calibri"/>
          <w:b/>
          <w:color w:val="525866"/>
          <w:sz w:val="22"/>
        </w:rPr>
        <w:t xml:space="preserve">Stock Setup: </w:t>
      </w:r>
      <w:r>
        <w:rPr>
          <w:rFonts w:ascii="Calibri" w:hAnsi="Calibri"/>
          <w:color w:val="525866"/>
          <w:sz w:val="22"/>
        </w:rPr>
        <w:t>LYV has re-rated +17.3% since Q1 earnings, significantly outperforming both XLC and SPY. The stock is trading near $184, above the average analyst price target of ~$190.65 (per public sources), implying limited upside from multiple expansion alone. The stock needs operational delivery to sustain the move.</w:t>
      </w:r>
    </w:p>
    <w:p>
      <w:r>
        <w:rPr>
          <w:rFonts w:ascii="Calibri" w:hAnsi="Calibri"/>
          <w:b/>
          <w:color w:val="525866"/>
          <w:sz w:val="22"/>
        </w:rPr>
        <w:t xml:space="preserve">Wildcard: </w:t>
      </w:r>
      <w:r>
        <w:rPr>
          <w:rFonts w:ascii="Calibri" w:hAnsi="Calibri"/>
          <w:color w:val="525866"/>
          <w:sz w:val="22"/>
        </w:rPr>
        <w:t>The antitrust legal process is the primary swing factor. Judge Subramanian has not yet ruled on the JMOL/Rule 59 motions (briefing completed July 2), and 21 plaintiff states are seeking discovery into the DOJ settlement. An adverse ruling or unexpected escalation in the remedies phase — particularly any signal toward Ticketmaster divestiture — could overwhelm an operationally strong print.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on revenue (~$7.56B, +7.8% YoY) and operating income (~$791M), with the Q3-heavy calendar skew making Q2 a setup quarter. </w:t>
      </w:r>
      <w:r>
        <w:rPr>
          <w:rFonts w:ascii="Calibri" w:hAnsi="Calibri"/>
          <w:b/>
          <w:color w:val="525866"/>
          <w:sz w:val="22"/>
        </w:rPr>
        <w:t>Total Fans and Ticketing GTV are the bigger swing factors</w:t>
      </w:r>
      <w:r>
        <w:rPr>
          <w:rFonts w:ascii="Calibri" w:hAnsi="Calibri"/>
          <w:color w:val="525866"/>
          <w:sz w:val="22"/>
        </w:rPr>
        <w:t xml:space="preserve"> — management's double-digit ticket sales commentary implies upside risk to the fan count consensus of ~46.8M.</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$3.79B</w:t>
            </w:r>
          </w:p>
        </w:tc>
        <w:tc>
          <w:tcPr>
            <w:tcW w:type="dxa" w:w="1234"/>
          </w:tcPr>
          <w:p>
            <w:r>
              <w:rPr>
                <w:rFonts w:ascii="Calibri" w:hAnsi="Calibri"/>
                <w:sz w:val="22"/>
              </w:rPr>
              <w:t>$7.01B</w:t>
            </w:r>
          </w:p>
        </w:tc>
        <w:tc>
          <w:tcPr>
            <w:tcW w:type="dxa" w:w="1234"/>
          </w:tcPr>
          <w:p>
            <w:r>
              <w:rPr>
                <w:rFonts w:ascii="Calibri" w:hAnsi="Calibri"/>
                <w:sz w:val="22"/>
              </w:rPr>
              <w:t>$7.56B</w:t>
            </w:r>
          </w:p>
        </w:tc>
        <w:tc>
          <w:tcPr>
            <w:tcW w:type="dxa" w:w="1234"/>
          </w:tcPr>
          <w:p>
            <w:r>
              <w:rPr>
                <w:rFonts w:ascii="Calibri" w:hAnsi="Calibri"/>
                <w:sz w:val="22"/>
              </w:rPr>
              <w:t>+7.8%</w:t>
            </w:r>
          </w:p>
        </w:tc>
        <w:tc>
          <w:tcPr>
            <w:tcW w:type="dxa" w:w="1234"/>
          </w:tcPr>
          <w:p>
            <w:r>
              <w:rPr>
                <w:rFonts w:ascii="Calibri" w:hAnsi="Calibri"/>
                <w:sz w:val="22"/>
              </w:rPr>
              <w:t>No specific Q2 guidance; double-digit growth expected for full year</w:t>
            </w:r>
          </w:p>
        </w:tc>
        <w:tc>
          <w:tcPr>
            <w:tcW w:type="dxa" w:w="1234"/>
          </w:tcPr>
          <w:p>
            <w:r>
              <w:rPr>
                <w:rFonts w:ascii="Calibri" w:hAnsi="Calibri"/>
                <w:sz w:val="22"/>
              </w:rPr>
              <w:t>N/A (no Q2 guidance)</w:t>
            </w:r>
          </w:p>
        </w:tc>
      </w:tr>
      <w:tr>
        <w:tc>
          <w:tcPr>
            <w:tcW w:type="dxa" w:w="1234"/>
          </w:tcPr>
          <w:p>
            <w:r>
              <w:rPr>
                <w:rFonts w:ascii="Calibri" w:hAnsi="Calibri"/>
                <w:sz w:val="22"/>
              </w:rPr>
              <w:t>Operating Income - Adjusted (AOI) ($M)</w:t>
            </w:r>
          </w:p>
        </w:tc>
        <w:tc>
          <w:tcPr>
            <w:tcW w:type="dxa" w:w="1234"/>
          </w:tcPr>
          <w:p>
            <w:r>
              <w:rPr>
                <w:rFonts w:ascii="Calibri" w:hAnsi="Calibri"/>
                <w:sz w:val="22"/>
              </w:rPr>
              <w:t>$371M</w:t>
            </w:r>
          </w:p>
        </w:tc>
        <w:tc>
          <w:tcPr>
            <w:tcW w:type="dxa" w:w="1234"/>
          </w:tcPr>
          <w:p>
            <w:r>
              <w:rPr>
                <w:rFonts w:ascii="Calibri" w:hAnsi="Calibri"/>
                <w:sz w:val="22"/>
              </w:rPr>
              <w:t>$798M</w:t>
            </w:r>
          </w:p>
        </w:tc>
        <w:tc>
          <w:tcPr>
            <w:tcW w:type="dxa" w:w="1234"/>
          </w:tcPr>
          <w:p>
            <w:r>
              <w:rPr>
                <w:rFonts w:ascii="Calibri" w:hAnsi="Calibri"/>
                <w:sz w:val="22"/>
              </w:rPr>
              <w:t>$791M</w:t>
            </w:r>
          </w:p>
        </w:tc>
        <w:tc>
          <w:tcPr>
            <w:tcW w:type="dxa" w:w="1234"/>
          </w:tcPr>
          <w:p>
            <w:r>
              <w:rPr>
                <w:rFonts w:ascii="Calibri" w:hAnsi="Calibri"/>
                <w:sz w:val="22"/>
              </w:rPr>
              <w:t>-0.9%</w:t>
            </w:r>
          </w:p>
        </w:tc>
        <w:tc>
          <w:tcPr>
            <w:tcW w:type="dxa" w:w="1234"/>
          </w:tcPr>
          <w:p>
            <w:r>
              <w:rPr>
                <w:rFonts w:ascii="Calibri" w:hAnsi="Calibri"/>
                <w:sz w:val="22"/>
              </w:rPr>
              <w:t>Q3 heavily weighted; Q4 also strong; double-digit AOI growth for FY</w:t>
            </w:r>
          </w:p>
        </w:tc>
        <w:tc>
          <w:tcPr>
            <w:tcW w:type="dxa" w:w="1234"/>
          </w:tcPr>
          <w:p>
            <w:r>
              <w:rPr>
                <w:rFonts w:ascii="Calibri" w:hAnsi="Calibri"/>
                <w:sz w:val="22"/>
              </w:rPr>
              <w:t>N/A (no Q2 guidance)</w:t>
            </w:r>
          </w:p>
        </w:tc>
      </w:tr>
      <w:tr>
        <w:tc>
          <w:tcPr>
            <w:tcW w:type="dxa" w:w="1234"/>
          </w:tcPr>
          <w:p>
            <w:r>
              <w:rPr>
                <w:rFonts w:ascii="Calibri" w:hAnsi="Calibri"/>
                <w:sz w:val="22"/>
              </w:rPr>
              <w:t>Total Fans (K#)</w:t>
            </w:r>
          </w:p>
        </w:tc>
        <w:tc>
          <w:tcPr>
            <w:tcW w:type="dxa" w:w="1234"/>
          </w:tcPr>
          <w:p>
            <w:r>
              <w:rPr>
                <w:rFonts w:ascii="Calibri" w:hAnsi="Calibri"/>
                <w:sz w:val="22"/>
              </w:rPr>
              <w:t>23,788K</w:t>
            </w:r>
          </w:p>
        </w:tc>
        <w:tc>
          <w:tcPr>
            <w:tcW w:type="dxa" w:w="1234"/>
          </w:tcPr>
          <w:p>
            <w:r>
              <w:rPr>
                <w:rFonts w:ascii="Calibri" w:hAnsi="Calibri"/>
                <w:sz w:val="22"/>
              </w:rPr>
              <w:t>44,215K</w:t>
            </w:r>
          </w:p>
        </w:tc>
        <w:tc>
          <w:tcPr>
            <w:tcW w:type="dxa" w:w="1234"/>
          </w:tcPr>
          <w:p>
            <w:r>
              <w:rPr>
                <w:rFonts w:ascii="Calibri" w:hAnsi="Calibri"/>
                <w:sz w:val="22"/>
              </w:rPr>
              <w:t>46,778K</w:t>
            </w:r>
          </w:p>
        </w:tc>
        <w:tc>
          <w:tcPr>
            <w:tcW w:type="dxa" w:w="1234"/>
          </w:tcPr>
          <w:p>
            <w:r>
              <w:rPr>
                <w:rFonts w:ascii="Calibri" w:hAnsi="Calibri"/>
                <w:sz w:val="22"/>
              </w:rPr>
              <w:t>+5.8%</w:t>
            </w:r>
          </w:p>
        </w:tc>
        <w:tc>
          <w:tcPr>
            <w:tcW w:type="dxa" w:w="1234"/>
          </w:tcPr>
          <w:p>
            <w:r>
              <w:rPr>
                <w:rFonts w:ascii="Calibri" w:hAnsi="Calibri"/>
                <w:sz w:val="22"/>
              </w:rPr>
              <w:t>Double-digit Venue Nation fan count growth for FY; 70% of amphitheater fan growth in Q3</w:t>
            </w:r>
          </w:p>
        </w:tc>
        <w:tc>
          <w:tcPr>
            <w:tcW w:type="dxa" w:w="1234"/>
          </w:tcPr>
          <w:p>
            <w:r>
              <w:rPr>
                <w:rFonts w:ascii="Calibri" w:hAnsi="Calibri"/>
                <w:sz w:val="22"/>
              </w:rPr>
              <w:t>N/A (no Q2 guidance)</w:t>
            </w:r>
          </w:p>
        </w:tc>
      </w:tr>
      <w:tr>
        <w:tc>
          <w:tcPr>
            <w:tcW w:type="dxa" w:w="1234"/>
          </w:tcPr>
          <w:p>
            <w:r>
              <w:rPr>
                <w:rFonts w:ascii="Calibri" w:hAnsi="Calibri"/>
                <w:sz w:val="22"/>
              </w:rPr>
              <w:t>Ticketing GTV ($B)</w:t>
            </w:r>
          </w:p>
        </w:tc>
        <w:tc>
          <w:tcPr>
            <w:tcW w:type="dxa" w:w="1234"/>
          </w:tcPr>
          <w:p>
            <w:r>
              <w:rPr>
                <w:rFonts w:ascii="Calibri" w:hAnsi="Calibri"/>
                <w:sz w:val="22"/>
              </w:rPr>
              <w:t>$8.92B</w:t>
            </w:r>
          </w:p>
        </w:tc>
        <w:tc>
          <w:tcPr>
            <w:tcW w:type="dxa" w:w="1234"/>
          </w:tcPr>
          <w:p>
            <w:r>
              <w:rPr>
                <w:rFonts w:ascii="Calibri" w:hAnsi="Calibri"/>
                <w:sz w:val="22"/>
              </w:rPr>
              <w:t>$9.06B</w:t>
            </w:r>
          </w:p>
        </w:tc>
        <w:tc>
          <w:tcPr>
            <w:tcW w:type="dxa" w:w="1234"/>
          </w:tcPr>
          <w:p>
            <w:r>
              <w:rPr>
                <w:rFonts w:ascii="Calibri" w:hAnsi="Calibri"/>
                <w:sz w:val="22"/>
              </w:rPr>
              <w:t>$9.68B</w:t>
            </w:r>
          </w:p>
        </w:tc>
        <w:tc>
          <w:tcPr>
            <w:tcW w:type="dxa" w:w="1234"/>
          </w:tcPr>
          <w:p>
            <w:r>
              <w:rPr>
                <w:rFonts w:ascii="Calibri" w:hAnsi="Calibri"/>
                <w:sz w:val="22"/>
              </w:rPr>
              <w:t>+6.9%</w:t>
            </w:r>
          </w:p>
        </w:tc>
        <w:tc>
          <w:tcPr>
            <w:tcW w:type="dxa" w:w="1234"/>
          </w:tcPr>
          <w:p>
            <w:r>
              <w:rPr>
                <w:rFonts w:ascii="Calibri" w:hAnsi="Calibri"/>
                <w:sz w:val="22"/>
              </w:rPr>
              <w:t>Mid-single-digit headwind from secondary ticketing step-down; overall GTV growth expected</w:t>
            </w:r>
          </w:p>
        </w:tc>
        <w:tc>
          <w:tcPr>
            <w:tcW w:type="dxa" w:w="1234"/>
          </w:tcPr>
          <w:p>
            <w:r>
              <w:rPr>
                <w:rFonts w:ascii="Calibri" w:hAnsi="Calibri"/>
                <w:sz w:val="22"/>
              </w:rPr>
              <w:t>N/A (no Q2 guidance)</w:t>
            </w:r>
          </w:p>
        </w:tc>
      </w:tr>
      <w:tr>
        <w:tc>
          <w:tcPr>
            <w:tcW w:type="dxa" w:w="1234"/>
          </w:tcPr>
          <w:p>
            <w:r>
              <w:rPr>
                <w:rFonts w:ascii="Calibri" w:hAnsi="Calibri"/>
                <w:sz w:val="22"/>
              </w:rPr>
              <w:t>Fee-Bearing Tickets Sold (M#)</w:t>
            </w:r>
          </w:p>
        </w:tc>
        <w:tc>
          <w:tcPr>
            <w:tcW w:type="dxa" w:w="1234"/>
          </w:tcPr>
          <w:p>
            <w:r>
              <w:rPr>
                <w:rFonts w:ascii="Calibri" w:hAnsi="Calibri"/>
                <w:sz w:val="22"/>
              </w:rPr>
              <w:t>80.6M</w:t>
            </w:r>
          </w:p>
        </w:tc>
        <w:tc>
          <w:tcPr>
            <w:tcW w:type="dxa" w:w="1234"/>
          </w:tcPr>
          <w:p>
            <w:r>
              <w:rPr>
                <w:rFonts w:ascii="Calibri" w:hAnsi="Calibri"/>
                <w:sz w:val="22"/>
              </w:rPr>
              <w:t>83.3M</w:t>
            </w:r>
          </w:p>
        </w:tc>
        <w:tc>
          <w:tcPr>
            <w:tcW w:type="dxa" w:w="1234"/>
          </w:tcPr>
          <w:p>
            <w:r>
              <w:rPr>
                <w:rFonts w:ascii="Calibri" w:hAnsi="Calibri"/>
                <w:sz w:val="22"/>
              </w:rPr>
              <w:t>84.7M</w:t>
            </w:r>
          </w:p>
        </w:tc>
        <w:tc>
          <w:tcPr>
            <w:tcW w:type="dxa" w:w="1234"/>
          </w:tcPr>
          <w:p>
            <w:r>
              <w:rPr>
                <w:rFonts w:ascii="Calibri" w:hAnsi="Calibri"/>
                <w:sz w:val="22"/>
              </w:rPr>
              <w:t>+1.7%</w:t>
            </w:r>
          </w:p>
        </w:tc>
        <w:tc>
          <w:tcPr>
            <w:tcW w:type="dxa" w:w="1234"/>
          </w:tcPr>
          <w:p>
            <w:r>
              <w:rPr>
                <w:rFonts w:ascii="Calibri" w:hAnsi="Calibri"/>
                <w:sz w:val="22"/>
              </w:rPr>
              <w:t>Ticket sales up double-digits YoY as of late May 2026</w:t>
            </w:r>
          </w:p>
        </w:tc>
        <w:tc>
          <w:tcPr>
            <w:tcW w:type="dxa" w:w="1234"/>
          </w:tcPr>
          <w:p>
            <w:r>
              <w:rPr>
                <w:rFonts w:ascii="Calibri" w:hAnsi="Calibri"/>
                <w:sz w:val="22"/>
              </w:rPr>
              <w:t>N/A (no Q2 guidance)</w:t>
            </w:r>
          </w:p>
        </w:tc>
      </w:tr>
      <w:tr>
        <w:tc>
          <w:tcPr>
            <w:tcW w:type="dxa" w:w="1234"/>
          </w:tcPr>
          <w:p>
            <w:r>
              <w:rPr>
                <w:rFonts w:ascii="Calibri" w:hAnsi="Calibri"/>
                <w:sz w:val="22"/>
              </w:rPr>
              <w:t>Concerts Revenue ($B)</w:t>
            </w:r>
          </w:p>
        </w:tc>
        <w:tc>
          <w:tcPr>
            <w:tcW w:type="dxa" w:w="1234"/>
          </w:tcPr>
          <w:p>
            <w:r>
              <w:rPr>
                <w:rFonts w:ascii="Calibri" w:hAnsi="Calibri"/>
                <w:sz w:val="22"/>
              </w:rPr>
              <w:t>$2.78B</w:t>
            </w:r>
          </w:p>
        </w:tc>
        <w:tc>
          <w:tcPr>
            <w:tcW w:type="dxa" w:w="1234"/>
          </w:tcPr>
          <w:p>
            <w:r>
              <w:rPr>
                <w:rFonts w:ascii="Calibri" w:hAnsi="Calibri"/>
                <w:sz w:val="22"/>
              </w:rPr>
              <w:t>$5.95B</w:t>
            </w:r>
          </w:p>
        </w:tc>
        <w:tc>
          <w:tcPr>
            <w:tcW w:type="dxa" w:w="1234"/>
          </w:tcPr>
          <w:p>
            <w:r>
              <w:rPr>
                <w:rFonts w:ascii="Calibri" w:hAnsi="Calibri"/>
                <w:sz w:val="22"/>
              </w:rPr>
              <w:t>$6.42B</w:t>
            </w:r>
          </w:p>
        </w:tc>
        <w:tc>
          <w:tcPr>
            <w:tcW w:type="dxa" w:w="1234"/>
          </w:tcPr>
          <w:p>
            <w:r>
              <w:rPr>
                <w:rFonts w:ascii="Calibri" w:hAnsi="Calibri"/>
                <w:sz w:val="22"/>
              </w:rPr>
              <w:t>+7.9%</w:t>
            </w:r>
          </w:p>
        </w:tc>
        <w:tc>
          <w:tcPr>
            <w:tcW w:type="dxa" w:w="1234"/>
          </w:tcPr>
          <w:p>
            <w:r>
              <w:rPr>
                <w:rFonts w:ascii="Calibri" w:hAnsi="Calibri"/>
                <w:sz w:val="22"/>
              </w:rPr>
              <w:t>Strong growth across stadiums, arenas, amphitheaters; Latin America particularly strong</w:t>
            </w:r>
          </w:p>
        </w:tc>
        <w:tc>
          <w:tcPr>
            <w:tcW w:type="dxa" w:w="1234"/>
          </w:tcPr>
          <w:p>
            <w:r>
              <w:rPr>
                <w:rFonts w:ascii="Calibri" w:hAnsi="Calibri"/>
                <w:sz w:val="22"/>
              </w:rPr>
              <w:t>N/A (no Q2 guidance)</w:t>
            </w:r>
          </w:p>
        </w:tc>
      </w:tr>
      <w:tr>
        <w:tc>
          <w:tcPr>
            <w:tcW w:type="dxa" w:w="1234"/>
          </w:tcPr>
          <w:p>
            <w:r>
              <w:rPr>
                <w:rFonts w:ascii="Calibri" w:hAnsi="Calibri"/>
                <w:sz w:val="22"/>
              </w:rPr>
              <w:t>Ticketing Revenue ($M)</w:t>
            </w:r>
          </w:p>
        </w:tc>
        <w:tc>
          <w:tcPr>
            <w:tcW w:type="dxa" w:w="1234"/>
          </w:tcPr>
          <w:p>
            <w:r>
              <w:rPr>
                <w:rFonts w:ascii="Calibri" w:hAnsi="Calibri"/>
                <w:sz w:val="22"/>
              </w:rPr>
              <w:t>$765M</w:t>
            </w:r>
          </w:p>
        </w:tc>
        <w:tc>
          <w:tcPr>
            <w:tcW w:type="dxa" w:w="1234"/>
          </w:tcPr>
          <w:p>
            <w:r>
              <w:rPr>
                <w:rFonts w:ascii="Calibri" w:hAnsi="Calibri"/>
                <w:sz w:val="22"/>
              </w:rPr>
              <w:t>$743M</w:t>
            </w:r>
          </w:p>
        </w:tc>
        <w:tc>
          <w:tcPr>
            <w:tcW w:type="dxa" w:w="1234"/>
          </w:tcPr>
          <w:p>
            <w:r>
              <w:rPr>
                <w:rFonts w:ascii="Calibri" w:hAnsi="Calibri"/>
                <w:sz w:val="22"/>
              </w:rPr>
              <w:t>$769M</w:t>
            </w:r>
          </w:p>
        </w:tc>
        <w:tc>
          <w:tcPr>
            <w:tcW w:type="dxa" w:w="1234"/>
          </w:tcPr>
          <w:p>
            <w:r>
              <w:rPr>
                <w:rFonts w:ascii="Calibri" w:hAnsi="Calibri"/>
                <w:sz w:val="22"/>
              </w:rPr>
              <w:t>+3.5%</w:t>
            </w:r>
          </w:p>
        </w:tc>
        <w:tc>
          <w:tcPr>
            <w:tcW w:type="dxa" w:w="1234"/>
          </w:tcPr>
          <w:p>
            <w:r>
              <w:rPr>
                <w:rFonts w:ascii="Calibri" w:hAnsi="Calibri"/>
                <w:sz w:val="22"/>
              </w:rPr>
              <w:t>Mid-single-digit secondary headwind; some growth expected for FY</w:t>
            </w:r>
          </w:p>
        </w:tc>
        <w:tc>
          <w:tcPr>
            <w:tcW w:type="dxa" w:w="1234"/>
          </w:tcPr>
          <w:p>
            <w:r>
              <w:rPr>
                <w:rFonts w:ascii="Calibri" w:hAnsi="Calibri"/>
                <w:sz w:val="22"/>
              </w:rPr>
              <w:t>N/A (no Q2 guidance)</w:t>
            </w:r>
          </w:p>
        </w:tc>
      </w:tr>
      <w:tr>
        <w:tc>
          <w:tcPr>
            <w:tcW w:type="dxa" w:w="1234"/>
          </w:tcPr>
          <w:p>
            <w:r>
              <w:rPr>
                <w:rFonts w:ascii="Calibri" w:hAnsi="Calibri"/>
                <w:sz w:val="22"/>
              </w:rPr>
              <w:t>Sponsorship &amp; Advertising ($M)</w:t>
            </w:r>
          </w:p>
        </w:tc>
        <w:tc>
          <w:tcPr>
            <w:tcW w:type="dxa" w:w="1234"/>
          </w:tcPr>
          <w:p>
            <w:r>
              <w:rPr>
                <w:rFonts w:ascii="Calibri" w:hAnsi="Calibri"/>
                <w:sz w:val="22"/>
              </w:rPr>
              <w:t>$259M</w:t>
            </w:r>
          </w:p>
        </w:tc>
        <w:tc>
          <w:tcPr>
            <w:tcW w:type="dxa" w:w="1234"/>
          </w:tcPr>
          <w:p>
            <w:r>
              <w:rPr>
                <w:rFonts w:ascii="Calibri" w:hAnsi="Calibri"/>
                <w:sz w:val="22"/>
              </w:rPr>
              <w:t>$341M</w:t>
            </w:r>
          </w:p>
        </w:tc>
        <w:tc>
          <w:tcPr>
            <w:tcW w:type="dxa" w:w="1234"/>
          </w:tcPr>
          <w:p>
            <w:r>
              <w:rPr>
                <w:rFonts w:ascii="Calibri" w:hAnsi="Calibri"/>
                <w:sz w:val="22"/>
              </w:rPr>
              <w:t>$383M</w:t>
            </w:r>
          </w:p>
        </w:tc>
        <w:tc>
          <w:tcPr>
            <w:tcW w:type="dxa" w:w="1234"/>
          </w:tcPr>
          <w:p>
            <w:r>
              <w:rPr>
                <w:rFonts w:ascii="Calibri" w:hAnsi="Calibri"/>
                <w:sz w:val="22"/>
              </w:rPr>
              <w:t>+12.3%</w:t>
            </w:r>
          </w:p>
        </w:tc>
        <w:tc>
          <w:tcPr>
            <w:tcW w:type="dxa" w:w="1234"/>
          </w:tcPr>
          <w:p>
            <w:r>
              <w:rPr>
                <w:rFonts w:ascii="Calibri" w:hAnsi="Calibri"/>
                <w:sz w:val="22"/>
              </w:rPr>
              <w:t>Strong global demand; international festivals driving growth</w:t>
            </w:r>
          </w:p>
        </w:tc>
        <w:tc>
          <w:tcPr>
            <w:tcW w:type="dxa" w:w="1234"/>
          </w:tcPr>
          <w:p>
            <w:r>
              <w:rPr>
                <w:rFonts w:ascii="Calibri" w:hAnsi="Calibri"/>
                <w:sz w:val="22"/>
              </w:rPr>
              <w:t>N/A (no Q2 guidance)</w:t>
            </w:r>
          </w:p>
        </w:tc>
      </w:tr>
      <w:tr>
        <w:tc>
          <w:tcPr>
            <w:tcW w:type="dxa" w:w="1234"/>
          </w:tcPr>
          <w:p>
            <w:r>
              <w:rPr>
                <w:rFonts w:ascii="Calibri" w:hAnsi="Calibri"/>
                <w:sz w:val="22"/>
              </w:rPr>
              <w:t>Diluted EPS ($)</w:t>
            </w:r>
          </w:p>
        </w:tc>
        <w:tc>
          <w:tcPr>
            <w:tcW w:type="dxa" w:w="1234"/>
          </w:tcPr>
          <w:p>
            <w:r>
              <w:rPr>
                <w:rFonts w:ascii="Calibri" w:hAnsi="Calibri"/>
                <w:sz w:val="22"/>
              </w:rPr>
              <w:t>-$1.67 (GAAP; large legal accrual)</w:t>
            </w:r>
          </w:p>
        </w:tc>
        <w:tc>
          <w:tcPr>
            <w:tcW w:type="dxa" w:w="1234"/>
          </w:tcPr>
          <w:p>
            <w:r>
              <w:rPr>
                <w:rFonts w:ascii="Calibri" w:hAnsi="Calibri"/>
                <w:sz w:val="22"/>
              </w:rPr>
              <w:t>$1.04</w:t>
            </w:r>
          </w:p>
        </w:tc>
        <w:tc>
          <w:tcPr>
            <w:tcW w:type="dxa" w:w="1234"/>
          </w:tcPr>
          <w:p>
            <w:r>
              <w:rPr>
                <w:rFonts w:ascii="Calibri" w:hAnsi="Calibri"/>
                <w:sz w:val="22"/>
              </w:rPr>
              <w:t>$0.81</w:t>
            </w:r>
          </w:p>
        </w:tc>
        <w:tc>
          <w:tcPr>
            <w:tcW w:type="dxa" w:w="1234"/>
          </w:tcPr>
          <w:p>
            <w:r>
              <w:rPr>
                <w:rFonts w:ascii="Calibri" w:hAnsi="Calibri"/>
                <w:sz w:val="22"/>
              </w:rPr>
              <w:t>-22.1%</w:t>
            </w:r>
          </w:p>
        </w:tc>
        <w:tc>
          <w:tcPr>
            <w:tcW w:type="dxa" w:w="1234"/>
          </w:tcPr>
          <w:p>
            <w:r>
              <w:rPr>
                <w:rFonts w:ascii="Calibri" w:hAnsi="Calibri"/>
                <w:sz w:val="22"/>
              </w:rPr>
              <w:t>No specific EPS guidance; GAAP EPS distorted by legal charges</w:t>
            </w:r>
          </w:p>
        </w:tc>
        <w:tc>
          <w:tcPr>
            <w:tcW w:type="dxa" w:w="1234"/>
          </w:tcPr>
          <w:p>
            <w:r>
              <w:rPr>
                <w:rFonts w:ascii="Calibri" w:hAnsi="Calibri"/>
                <w:sz w:val="22"/>
              </w:rPr>
              <w:t>N/A (no Q2 guidance)</w:t>
            </w:r>
          </w:p>
        </w:tc>
      </w:tr>
      <w:tr>
        <w:tc>
          <w:tcPr>
            <w:tcW w:type="dxa" w:w="1234"/>
          </w:tcPr>
          <w:p>
            <w:r>
              <w:rPr>
                <w:rFonts w:ascii="Calibri" w:hAnsi="Calibri"/>
                <w:sz w:val="22"/>
              </w:rPr>
              <w:t>Adj. EBITDA ($M)</w:t>
            </w:r>
          </w:p>
        </w:tc>
        <w:tc>
          <w:tcPr>
            <w:tcW w:type="dxa" w:w="1234"/>
          </w:tcPr>
          <w:p>
            <w:r>
              <w:rPr>
                <w:rFonts w:ascii="Calibri" w:hAnsi="Calibri"/>
                <w:sz w:val="22"/>
              </w:rPr>
              <w:t>$540M</w:t>
            </w:r>
          </w:p>
        </w:tc>
        <w:tc>
          <w:tcPr>
            <w:tcW w:type="dxa" w:w="1234"/>
          </w:tcPr>
          <w:p>
            <w:r>
              <w:rPr>
                <w:rFonts w:ascii="Calibri" w:hAnsi="Calibri"/>
                <w:sz w:val="22"/>
              </w:rPr>
              <w:t>$957M</w:t>
            </w:r>
          </w:p>
        </w:tc>
        <w:tc>
          <w:tcPr>
            <w:tcW w:type="dxa" w:w="1234"/>
          </w:tcPr>
          <w:p>
            <w:r>
              <w:rPr>
                <w:rFonts w:ascii="Calibri" w:hAnsi="Calibri"/>
                <w:sz w:val="22"/>
              </w:rPr>
              <w:t>$971M</w:t>
            </w:r>
          </w:p>
        </w:tc>
        <w:tc>
          <w:tcPr>
            <w:tcW w:type="dxa" w:w="1234"/>
          </w:tcPr>
          <w:p>
            <w:r>
              <w:rPr>
                <w:rFonts w:ascii="Calibri" w:hAnsi="Calibri"/>
                <w:sz w:val="22"/>
              </w:rPr>
              <w:t>+1.5%</w:t>
            </w:r>
          </w:p>
        </w:tc>
        <w:tc>
          <w:tcPr>
            <w:tcW w:type="dxa" w:w="1234"/>
          </w:tcPr>
          <w:p>
            <w:r>
              <w:rPr>
                <w:rFonts w:ascii="Calibri" w:hAnsi="Calibri"/>
                <w:sz w:val="22"/>
              </w:rPr>
              <w:t>Double-digit FY growth guided; Q3 heavily weighted</w:t>
            </w:r>
          </w:p>
        </w:tc>
        <w:tc>
          <w:tcPr>
            <w:tcW w:type="dxa" w:w="1234"/>
          </w:tcPr>
          <w:p>
            <w:r>
              <w:rPr>
                <w:rFonts w:ascii="Calibri" w:hAnsi="Calibri"/>
                <w:sz w:val="22"/>
              </w:rPr>
              <w:t>N/A (no Q2 guidance)</w:t>
            </w:r>
          </w:p>
        </w:tc>
      </w:tr>
    </w:tbl>
    <w:p>
      <w:r>
        <w:rPr>
          <w:rFonts w:ascii="Calibri" w:hAnsi="Calibri"/>
          <w:i/>
          <w:color w:val="525866"/>
          <w:sz w:val="22"/>
        </w:rPr>
        <w:t>Source: Visible Alpha Consensus and Actuals Data. All consensus figures as of latest available (July 2026). Q2 2026 Actual column is blank as the quarter has not yet been reported.</w:t>
      </w:r>
    </w:p>
    <w:p>
      <w:pPr>
        <w:pStyle w:val="Heading3"/>
      </w:pPr>
      <w:r>
        <w:rPr>
          <w:rFonts w:ascii="Calibri" w:hAnsi="Calibri"/>
          <w:b/>
          <w:color w:val="3B4259"/>
          <w:sz w:val="24"/>
        </w:rPr>
        <w:t>Table 2 — Beat/Miss History (Last 8 Quarters, Top 2 KPIs: Total Revenue &amp; Total Fans)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$3.793B</w:t>
            </w:r>
          </w:p>
        </w:tc>
        <w:tc>
          <w:tcPr>
            <w:tcW w:type="dxa" w:w="1440"/>
          </w:tcPr>
          <w:p>
            <w:r>
              <w:rPr>
                <w:rFonts w:ascii="Calibri" w:hAnsi="Calibri"/>
                <w:sz w:val="22"/>
              </w:rPr>
              <w:t>$3.574B</w:t>
            </w:r>
          </w:p>
        </w:tc>
        <w:tc>
          <w:tcPr>
            <w:tcW w:type="dxa" w:w="1440"/>
          </w:tcPr>
          <w:p>
            <w:r>
              <w:rPr>
                <w:rFonts w:ascii="Calibri" w:hAnsi="Calibri"/>
                <w:b/>
                <w:color w:val="30A46C"/>
                <w:sz w:val="22"/>
              </w:rPr>
              <w:t>+6.1%</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Total Fans</w:t>
            </w:r>
          </w:p>
        </w:tc>
        <w:tc>
          <w:tcPr>
            <w:tcW w:type="dxa" w:w="1440"/>
          </w:tcPr>
          <w:p>
            <w:r>
              <w:rPr>
                <w:rFonts w:ascii="Calibri" w:hAnsi="Calibri"/>
                <w:sz w:val="22"/>
              </w:rPr>
              <w:t>23,788K</w:t>
            </w:r>
          </w:p>
        </w:tc>
        <w:tc>
          <w:tcPr>
            <w:tcW w:type="dxa" w:w="1440"/>
          </w:tcPr>
          <w:p>
            <w:r>
              <w:rPr>
                <w:rFonts w:ascii="Calibri" w:hAnsi="Calibri"/>
                <w:sz w:val="22"/>
              </w:rPr>
              <w:t>22,923K</w:t>
            </w:r>
          </w:p>
        </w:tc>
        <w:tc>
          <w:tcPr>
            <w:tcW w:type="dxa" w:w="1440"/>
          </w:tcPr>
          <w:p>
            <w:r>
              <w:rPr>
                <w:rFonts w:ascii="Calibri" w:hAnsi="Calibri"/>
                <w:b/>
                <w:color w:val="30A46C"/>
                <w:sz w:val="22"/>
              </w:rPr>
              <w:t>+3.8%</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$6.314B</w:t>
            </w:r>
          </w:p>
        </w:tc>
        <w:tc>
          <w:tcPr>
            <w:tcW w:type="dxa" w:w="1440"/>
          </w:tcPr>
          <w:p>
            <w:r>
              <w:rPr>
                <w:rFonts w:ascii="Calibri" w:hAnsi="Calibri"/>
                <w:sz w:val="22"/>
              </w:rPr>
              <w:t>$6.103B</w:t>
            </w:r>
          </w:p>
        </w:tc>
        <w:tc>
          <w:tcPr>
            <w:tcW w:type="dxa" w:w="1440"/>
          </w:tcPr>
          <w:p>
            <w:r>
              <w:rPr>
                <w:rFonts w:ascii="Calibri" w:hAnsi="Calibri"/>
                <w:b/>
                <w:color w:val="30A46C"/>
                <w:sz w:val="22"/>
              </w:rPr>
              <w:t>+3.5%</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Total Fans</w:t>
            </w:r>
          </w:p>
        </w:tc>
        <w:tc>
          <w:tcPr>
            <w:tcW w:type="dxa" w:w="1440"/>
          </w:tcPr>
          <w:p>
            <w:r>
              <w:rPr>
                <w:rFonts w:ascii="Calibri" w:hAnsi="Calibri"/>
                <w:sz w:val="22"/>
              </w:rPr>
              <w:t>41,375K</w:t>
            </w:r>
          </w:p>
        </w:tc>
        <w:tc>
          <w:tcPr>
            <w:tcW w:type="dxa" w:w="1440"/>
          </w:tcPr>
          <w:p>
            <w:r>
              <w:rPr>
                <w:rFonts w:ascii="Calibri" w:hAnsi="Calibri"/>
                <w:sz w:val="22"/>
              </w:rPr>
              <w:t>41,766K</w:t>
            </w:r>
          </w:p>
        </w:tc>
        <w:tc>
          <w:tcPr>
            <w:tcW w:type="dxa" w:w="1440"/>
          </w:tcPr>
          <w:p>
            <w:r>
              <w:rPr>
                <w:rFonts w:ascii="Calibri" w:hAnsi="Calibri"/>
                <w:b/>
                <w:color w:val="E5484D"/>
                <w:sz w:val="22"/>
              </w:rPr>
              <w:t>-0.9%</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$8.499B</w:t>
            </w:r>
          </w:p>
        </w:tc>
        <w:tc>
          <w:tcPr>
            <w:tcW w:type="dxa" w:w="1440"/>
          </w:tcPr>
          <w:p>
            <w:r>
              <w:rPr>
                <w:rFonts w:ascii="Calibri" w:hAnsi="Calibri"/>
                <w:sz w:val="22"/>
              </w:rPr>
              <w:t>$8.573B</w:t>
            </w:r>
          </w:p>
        </w:tc>
        <w:tc>
          <w:tcPr>
            <w:tcW w:type="dxa" w:w="1440"/>
          </w:tcPr>
          <w:p>
            <w:r>
              <w:rPr>
                <w:rFonts w:ascii="Calibri" w:hAnsi="Calibri"/>
                <w:b/>
                <w:color w:val="E5484D"/>
                <w:sz w:val="22"/>
              </w:rPr>
              <w:t>-0.9%</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Total Fans</w:t>
            </w:r>
          </w:p>
        </w:tc>
        <w:tc>
          <w:tcPr>
            <w:tcW w:type="dxa" w:w="1440"/>
          </w:tcPr>
          <w:p>
            <w:r>
              <w:rPr>
                <w:rFonts w:ascii="Calibri" w:hAnsi="Calibri"/>
                <w:sz w:val="22"/>
              </w:rPr>
              <w:t>51,269K</w:t>
            </w:r>
          </w:p>
        </w:tc>
        <w:tc>
          <w:tcPr>
            <w:tcW w:type="dxa" w:w="1440"/>
          </w:tcPr>
          <w:p>
            <w:r>
              <w:rPr>
                <w:rFonts w:ascii="Calibri" w:hAnsi="Calibri"/>
                <w:sz w:val="22"/>
              </w:rPr>
              <w:t>51,946K</w:t>
            </w:r>
          </w:p>
        </w:tc>
        <w:tc>
          <w:tcPr>
            <w:tcW w:type="dxa" w:w="1440"/>
          </w:tcPr>
          <w:p>
            <w:r>
              <w:rPr>
                <w:rFonts w:ascii="Calibri" w:hAnsi="Calibri"/>
                <w:b/>
                <w:color w:val="E5484D"/>
                <w:sz w:val="22"/>
              </w:rPr>
              <w:t>-1.3%</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$7.007B</w:t>
            </w:r>
          </w:p>
        </w:tc>
        <w:tc>
          <w:tcPr>
            <w:tcW w:type="dxa" w:w="1440"/>
          </w:tcPr>
          <w:p>
            <w:r>
              <w:rPr>
                <w:rFonts w:ascii="Calibri" w:hAnsi="Calibri"/>
                <w:sz w:val="22"/>
              </w:rPr>
              <w:t>$6.779B</w:t>
            </w:r>
          </w:p>
        </w:tc>
        <w:tc>
          <w:tcPr>
            <w:tcW w:type="dxa" w:w="1440"/>
          </w:tcPr>
          <w:p>
            <w:r>
              <w:rPr>
                <w:rFonts w:ascii="Calibri" w:hAnsi="Calibri"/>
                <w:b/>
                <w:color w:val="30A46C"/>
                <w:sz w:val="22"/>
              </w:rPr>
              <w:t>+3.4%</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Total Fans</w:t>
            </w:r>
          </w:p>
        </w:tc>
        <w:tc>
          <w:tcPr>
            <w:tcW w:type="dxa" w:w="1440"/>
          </w:tcPr>
          <w:p>
            <w:r>
              <w:rPr>
                <w:rFonts w:ascii="Calibri" w:hAnsi="Calibri"/>
                <w:sz w:val="22"/>
              </w:rPr>
              <w:t>44,215K</w:t>
            </w:r>
          </w:p>
        </w:tc>
        <w:tc>
          <w:tcPr>
            <w:tcW w:type="dxa" w:w="1440"/>
          </w:tcPr>
          <w:p>
            <w:r>
              <w:rPr>
                <w:rFonts w:ascii="Calibri" w:hAnsi="Calibri"/>
                <w:sz w:val="22"/>
              </w:rPr>
              <w:t>42,944K</w:t>
            </w:r>
          </w:p>
        </w:tc>
        <w:tc>
          <w:tcPr>
            <w:tcW w:type="dxa" w:w="1440"/>
          </w:tcPr>
          <w:p>
            <w:r>
              <w:rPr>
                <w:rFonts w:ascii="Calibri" w:hAnsi="Calibri"/>
                <w:b/>
                <w:color w:val="30A46C"/>
                <w:sz w:val="22"/>
              </w:rPr>
              <w:t>+3.0%</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$3.382B</w:t>
            </w:r>
          </w:p>
        </w:tc>
        <w:tc>
          <w:tcPr>
            <w:tcW w:type="dxa" w:w="1440"/>
          </w:tcPr>
          <w:p>
            <w:r>
              <w:rPr>
                <w:rFonts w:ascii="Calibri" w:hAnsi="Calibri"/>
                <w:sz w:val="22"/>
              </w:rPr>
              <w:t>$3.479B</w:t>
            </w:r>
          </w:p>
        </w:tc>
        <w:tc>
          <w:tcPr>
            <w:tcW w:type="dxa" w:w="1440"/>
          </w:tcPr>
          <w:p>
            <w:r>
              <w:rPr>
                <w:rFonts w:ascii="Calibri" w:hAnsi="Calibri"/>
                <w:b/>
                <w:color w:val="E5484D"/>
                <w:sz w:val="22"/>
              </w:rPr>
              <w:t>-2.8%</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Total Fans</w:t>
            </w:r>
          </w:p>
        </w:tc>
        <w:tc>
          <w:tcPr>
            <w:tcW w:type="dxa" w:w="1440"/>
          </w:tcPr>
          <w:p>
            <w:r>
              <w:rPr>
                <w:rFonts w:ascii="Calibri" w:hAnsi="Calibri"/>
                <w:sz w:val="22"/>
              </w:rPr>
              <w:t>22,307K</w:t>
            </w:r>
          </w:p>
        </w:tc>
        <w:tc>
          <w:tcPr>
            <w:tcW w:type="dxa" w:w="1440"/>
          </w:tcPr>
          <w:p>
            <w:r>
              <w:rPr>
                <w:rFonts w:ascii="Calibri" w:hAnsi="Calibri"/>
                <w:sz w:val="22"/>
              </w:rPr>
              <w:t>22,204K</w:t>
            </w:r>
          </w:p>
        </w:tc>
        <w:tc>
          <w:tcPr>
            <w:tcW w:type="dxa" w:w="1440"/>
          </w:tcPr>
          <w:p>
            <w:r>
              <w:rPr>
                <w:rFonts w:ascii="Calibri" w:hAnsi="Calibri"/>
                <w:b/>
                <w:color w:val="30A46C"/>
                <w:sz w:val="22"/>
              </w:rPr>
              <w:t>+0.5%</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$5.682B</w:t>
            </w:r>
          </w:p>
        </w:tc>
        <w:tc>
          <w:tcPr>
            <w:tcW w:type="dxa" w:w="1440"/>
          </w:tcPr>
          <w:p>
            <w:r>
              <w:rPr>
                <w:rFonts w:ascii="Calibri" w:hAnsi="Calibri"/>
                <w:sz w:val="22"/>
              </w:rPr>
              <w:t>$5.603B</w:t>
            </w:r>
          </w:p>
        </w:tc>
        <w:tc>
          <w:tcPr>
            <w:tcW w:type="dxa" w:w="1440"/>
          </w:tcPr>
          <w:p>
            <w:r>
              <w:rPr>
                <w:rFonts w:ascii="Calibri" w:hAnsi="Calibri"/>
                <w:b/>
                <w:color w:val="30A46C"/>
                <w:sz w:val="22"/>
              </w:rPr>
              <w:t>+1.4%</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Total Fans</w:t>
            </w:r>
          </w:p>
        </w:tc>
        <w:tc>
          <w:tcPr>
            <w:tcW w:type="dxa" w:w="1440"/>
          </w:tcPr>
          <w:p>
            <w:r>
              <w:rPr>
                <w:rFonts w:ascii="Calibri" w:hAnsi="Calibri"/>
                <w:sz w:val="22"/>
              </w:rPr>
              <w:t>39,123K</w:t>
            </w:r>
          </w:p>
        </w:tc>
        <w:tc>
          <w:tcPr>
            <w:tcW w:type="dxa" w:w="1440"/>
          </w:tcPr>
          <w:p>
            <w:r>
              <w:rPr>
                <w:rFonts w:ascii="Calibri" w:hAnsi="Calibri"/>
                <w:sz w:val="22"/>
              </w:rPr>
              <w:t>36,080K</w:t>
            </w:r>
          </w:p>
        </w:tc>
        <w:tc>
          <w:tcPr>
            <w:tcW w:type="dxa" w:w="1440"/>
          </w:tcPr>
          <w:p>
            <w:r>
              <w:rPr>
                <w:rFonts w:ascii="Calibri" w:hAnsi="Calibri"/>
                <w:b/>
                <w:color w:val="30A46C"/>
                <w:sz w:val="22"/>
              </w:rPr>
              <w:t>+8.4%</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$7.651B</w:t>
            </w:r>
          </w:p>
        </w:tc>
        <w:tc>
          <w:tcPr>
            <w:tcW w:type="dxa" w:w="1440"/>
          </w:tcPr>
          <w:p>
            <w:r>
              <w:rPr>
                <w:rFonts w:ascii="Calibri" w:hAnsi="Calibri"/>
                <w:sz w:val="22"/>
              </w:rPr>
              <w:t>$7.810B</w:t>
            </w:r>
          </w:p>
        </w:tc>
        <w:tc>
          <w:tcPr>
            <w:tcW w:type="dxa" w:w="1440"/>
          </w:tcPr>
          <w:p>
            <w:r>
              <w:rPr>
                <w:rFonts w:ascii="Calibri" w:hAnsi="Calibri"/>
                <w:b/>
                <w:color w:val="E5484D"/>
                <w:sz w:val="22"/>
              </w:rPr>
              <w:t>-2.0%</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Total Fans</w:t>
            </w:r>
          </w:p>
        </w:tc>
        <w:tc>
          <w:tcPr>
            <w:tcW w:type="dxa" w:w="1440"/>
          </w:tcPr>
          <w:p>
            <w:r>
              <w:rPr>
                <w:rFonts w:ascii="Calibri" w:hAnsi="Calibri"/>
                <w:sz w:val="22"/>
              </w:rPr>
              <w:t>50,104K</w:t>
            </w:r>
          </w:p>
        </w:tc>
        <w:tc>
          <w:tcPr>
            <w:tcW w:type="dxa" w:w="1440"/>
          </w:tcPr>
          <w:p>
            <w:r>
              <w:rPr>
                <w:rFonts w:ascii="Calibri" w:hAnsi="Calibri"/>
                <w:sz w:val="22"/>
              </w:rPr>
              <w:t>52,484K</w:t>
            </w:r>
          </w:p>
        </w:tc>
        <w:tc>
          <w:tcPr>
            <w:tcW w:type="dxa" w:w="1440"/>
          </w:tcPr>
          <w:p>
            <w:r>
              <w:rPr>
                <w:rFonts w:ascii="Calibri" w:hAnsi="Calibri"/>
                <w:b/>
                <w:color w:val="E5484D"/>
                <w:sz w:val="22"/>
              </w:rPr>
              <w:t>-4.5%</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Total Revenue</w:t>
            </w:r>
          </w:p>
        </w:tc>
        <w:tc>
          <w:tcPr>
            <w:tcW w:type="dxa" w:w="1440"/>
          </w:tcPr>
          <w:p>
            <w:r>
              <w:rPr>
                <w:rFonts w:ascii="Calibri" w:hAnsi="Calibri"/>
                <w:sz w:val="22"/>
              </w:rPr>
              <w:t>$6.023B</w:t>
            </w:r>
          </w:p>
        </w:tc>
        <w:tc>
          <w:tcPr>
            <w:tcW w:type="dxa" w:w="1440"/>
          </w:tcPr>
          <w:p>
            <w:r>
              <w:rPr>
                <w:rFonts w:ascii="Calibri" w:hAnsi="Calibri"/>
                <w:sz w:val="22"/>
              </w:rPr>
              <w:t>$6.026B</w:t>
            </w:r>
          </w:p>
        </w:tc>
        <w:tc>
          <w:tcPr>
            <w:tcW w:type="dxa" w:w="1440"/>
          </w:tcPr>
          <w:p>
            <w:r>
              <w:rPr>
                <w:rFonts w:ascii="Calibri" w:hAnsi="Calibri"/>
                <w:sz w:val="22"/>
              </w:rPr>
              <w:t>-0.1%</w:t>
            </w:r>
          </w:p>
        </w:tc>
        <w:tc>
          <w:tcPr>
            <w:tcW w:type="dxa" w:w="1440"/>
          </w:tcPr>
          <w:p>
            <w:r>
              <w:rPr>
                <w:rFonts w:ascii="Calibri" w:hAnsi="Calibri"/>
                <w:sz w:val="22"/>
              </w:rPr>
              <w:t>IN-LINE</w:t>
            </w:r>
          </w:p>
        </w:tc>
      </w:tr>
      <w:tr>
        <w:tc>
          <w:tcPr>
            <w:tcW w:type="dxa" w:w="1440"/>
          </w:tcPr>
          <w:p>
            <w:r>
              <w:rPr>
                <w:rFonts w:ascii="Calibri" w:hAnsi="Calibri"/>
                <w:sz w:val="22"/>
              </w:rPr>
              <w:t>Q2 2024</w:t>
            </w:r>
          </w:p>
        </w:tc>
        <w:tc>
          <w:tcPr>
            <w:tcW w:type="dxa" w:w="1440"/>
          </w:tcPr>
          <w:p>
            <w:r>
              <w:rPr>
                <w:rFonts w:ascii="Calibri" w:hAnsi="Calibri"/>
                <w:sz w:val="22"/>
              </w:rPr>
              <w:t>Total Fans</w:t>
            </w:r>
          </w:p>
        </w:tc>
        <w:tc>
          <w:tcPr>
            <w:tcW w:type="dxa" w:w="1440"/>
          </w:tcPr>
          <w:p>
            <w:r>
              <w:rPr>
                <w:rFonts w:ascii="Calibri" w:hAnsi="Calibri"/>
                <w:sz w:val="22"/>
              </w:rPr>
              <w:t>38,892K</w:t>
            </w:r>
          </w:p>
        </w:tc>
        <w:tc>
          <w:tcPr>
            <w:tcW w:type="dxa" w:w="1440"/>
          </w:tcPr>
          <w:p>
            <w:r>
              <w:rPr>
                <w:rFonts w:ascii="Calibri" w:hAnsi="Calibri"/>
                <w:sz w:val="22"/>
              </w:rPr>
              <w:t>39,107K</w:t>
            </w:r>
          </w:p>
        </w:tc>
        <w:tc>
          <w:tcPr>
            <w:tcW w:type="dxa" w:w="1440"/>
          </w:tcPr>
          <w:p>
            <w:r>
              <w:rPr>
                <w:rFonts w:ascii="Calibri" w:hAnsi="Calibri"/>
                <w:sz w:val="22"/>
              </w:rPr>
              <w:t>-0.6%</w:t>
            </w:r>
          </w:p>
        </w:tc>
        <w:tc>
          <w:tcPr>
            <w:tcW w:type="dxa" w:w="1440"/>
          </w:tcPr>
          <w:p>
            <w:r>
              <w:rPr>
                <w:rFonts w:ascii="Calibri" w:hAnsi="Calibri"/>
                <w:sz w:val="22"/>
              </w:rPr>
              <w:t>IN-LINE</w:t>
            </w:r>
          </w:p>
        </w:tc>
      </w:tr>
    </w:tbl>
    <w:p>
      <w:r>
        <w:rPr>
          <w:rFonts w:ascii="Calibri" w:hAnsi="Calibri"/>
          <w:i/>
          <w:color w:val="525866"/>
          <w:sz w:val="22"/>
        </w:rPr>
        <w:t xml:space="preserve">Source: Visible Alpha Consensus and Actuals Data. </w:t>
      </w:r>
      <w:r>
        <w:rPr>
          <w:rFonts w:ascii="Calibri" w:hAnsi="Calibri"/>
          <w:color w:val="525866"/>
          <w:sz w:val="22"/>
        </w:rPr>
        <w:t>Pattern: LYV has beaten revenue consensus in 5 of the last 8 quarters, with the largest beats in Q1 2026 (+6.1%) and Q2 2025 (+3.4%); fan count beats are less consistent, with notable misses in Q3 2024 (-4.5%) and Q3 2025 (-1.3%) driven by amphitheater calendar timing — the same dynamic management has guided will skew Q3 2026 positively.</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No formal guidance revision has been issued since the Q1 2026 earnings call on May 5, 2026. Management's tone has remained consistently confident, with post-earnings conference commentary reinforcing the demand narrative and explicitly dismissing 'blue dot fever' concerns. </w:t>
      </w:r>
      <w:r>
        <w:rPr>
          <w:rFonts w:ascii="Calibri" w:hAnsi="Calibri"/>
          <w:b/>
          <w:color w:val="525866"/>
          <w:sz w:val="22"/>
        </w:rPr>
        <w:t>The only change since Q1 is incremental legal process clarity</w:t>
      </w:r>
      <w:r>
        <w:rPr>
          <w:rFonts w:ascii="Calibri" w:hAnsi="Calibri"/>
          <w:color w:val="525866"/>
          <w:sz w:val="22"/>
        </w:rPr>
        <w:t xml:space="preserve"> — the DOJ Proposed Final Judgment was filed June 12, and JMOL reply briefs were filed July 2, but neither event changed the financial guidance framework.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Full Year AOI Growth</w:t>
            </w:r>
          </w:p>
        </w:tc>
        <w:tc>
          <w:tcPr>
            <w:tcW w:type="dxa" w:w="1728"/>
          </w:tcPr>
          <w:p>
            <w:r>
              <w:rPr>
                <w:rFonts w:ascii="Calibri" w:hAnsi="Calibri"/>
                <w:sz w:val="22"/>
              </w:rPr>
              <w:t>Double-digit growth; Q3 heavily weighted, Q4 also strong</w:t>
            </w:r>
          </w:p>
        </w:tc>
        <w:tc>
          <w:tcPr>
            <w:tcW w:type="dxa" w:w="1728"/>
          </w:tcPr>
          <w:p>
            <w:r>
              <w:rPr>
                <w:rFonts w:ascii="Calibri" w:hAnsi="Calibri"/>
                <w:sz w:val="22"/>
              </w:rPr>
              <w:t>—</w:t>
            </w:r>
          </w:p>
        </w:tc>
        <w:tc>
          <w:tcPr>
            <w:tcW w:type="dxa" w:w="1728"/>
          </w:tcPr>
          <w:p>
            <w:r>
              <w:rPr>
                <w:rFonts w:ascii="Calibri" w:hAnsi="Calibri"/>
                <w:sz w:val="22"/>
              </w:rPr>
              <w:t>FY 2026 Adj. EBITDA: $3.40B</w:t>
            </w:r>
          </w:p>
        </w:tc>
        <w:tc>
          <w:tcPr>
            <w:tcW w:type="dxa" w:w="1728"/>
          </w:tcPr>
          <w:p>
            <w:r>
              <w:rPr>
                <w:rFonts w:ascii="Calibri" w:hAnsi="Calibri"/>
                <w:sz w:val="22"/>
              </w:rPr>
              <w:t>Unchanged; management reiterated at May 2026 conference with no pullback seen</w:t>
            </w:r>
          </w:p>
        </w:tc>
      </w:tr>
      <w:tr>
        <w:tc>
          <w:tcPr>
            <w:tcW w:type="dxa" w:w="1728"/>
          </w:tcPr>
          <w:p>
            <w:r>
              <w:rPr>
                <w:rFonts w:ascii="Calibri" w:hAnsi="Calibri"/>
                <w:sz w:val="22"/>
              </w:rPr>
              <w:t>Ticketmaster AOI Headwind</w:t>
            </w:r>
          </w:p>
        </w:tc>
        <w:tc>
          <w:tcPr>
            <w:tcW w:type="dxa" w:w="1728"/>
          </w:tcPr>
          <w:p>
            <w:r>
              <w:rPr>
                <w:rFonts w:ascii="Calibri" w:hAnsi="Calibri"/>
                <w:sz w:val="22"/>
              </w:rPr>
              <w:t>Mid-single-digit drag from secondary ticketing step-down; one-time structural step-down that comps out in 2027</w:t>
            </w:r>
          </w:p>
        </w:tc>
        <w:tc>
          <w:tcPr>
            <w:tcW w:type="dxa" w:w="1728"/>
          </w:tcPr>
          <w:p>
            <w:r>
              <w:rPr>
                <w:rFonts w:ascii="Calibri" w:hAnsi="Calibri"/>
                <w:sz w:val="22"/>
              </w:rPr>
              <w:t>—</w:t>
            </w:r>
          </w:p>
        </w:tc>
        <w:tc>
          <w:tcPr>
            <w:tcW w:type="dxa" w:w="1728"/>
          </w:tcPr>
          <w:p>
            <w:r>
              <w:rPr>
                <w:rFonts w:ascii="Calibri" w:hAnsi="Calibri"/>
                <w:sz w:val="22"/>
              </w:rPr>
              <w:t>FY 2026 Ticketing Revenue: $3.23B</w:t>
            </w:r>
          </w:p>
        </w:tc>
        <w:tc>
          <w:tcPr>
            <w:tcW w:type="dxa" w:w="1728"/>
          </w:tcPr>
          <w:p>
            <w:r>
              <w:rPr>
                <w:rFonts w:ascii="Calibri" w:hAnsi="Calibri"/>
                <w:sz w:val="22"/>
              </w:rPr>
              <w:t>Unchanged; management confirmed gradual decline in secondary share to single digits over several years</w:t>
            </w:r>
          </w:p>
        </w:tc>
      </w:tr>
      <w:tr>
        <w:tc>
          <w:tcPr>
            <w:tcW w:type="dxa" w:w="1728"/>
          </w:tcPr>
          <w:p>
            <w:r>
              <w:rPr>
                <w:rFonts w:ascii="Calibri" w:hAnsi="Calibri"/>
                <w:sz w:val="22"/>
              </w:rPr>
              <w:t>Venue Nation Fan Count</w:t>
            </w:r>
          </w:p>
        </w:tc>
        <w:tc>
          <w:tcPr>
            <w:tcW w:type="dxa" w:w="1728"/>
          </w:tcPr>
          <w:p>
            <w:r>
              <w:rPr>
                <w:rFonts w:ascii="Calibri" w:hAnsi="Calibri"/>
                <w:sz w:val="22"/>
              </w:rPr>
              <w:t>Double-digit growth from ~65M base; 70% of amphitheater fan growth in Q3</w:t>
            </w:r>
          </w:p>
        </w:tc>
        <w:tc>
          <w:tcPr>
            <w:tcW w:type="dxa" w:w="1728"/>
          </w:tcPr>
          <w:p>
            <w:r>
              <w:rPr>
                <w:rFonts w:ascii="Calibri" w:hAnsi="Calibri"/>
                <w:sz w:val="22"/>
              </w:rPr>
              <w:t>—</w:t>
            </w:r>
          </w:p>
        </w:tc>
        <w:tc>
          <w:tcPr>
            <w:tcW w:type="dxa" w:w="1728"/>
          </w:tcPr>
          <w:p>
            <w:r>
              <w:rPr>
                <w:rFonts w:ascii="Calibri" w:hAnsi="Calibri"/>
                <w:sz w:val="22"/>
              </w:rPr>
              <w:t>FY 2026 Total Fans: 171.1M</w:t>
            </w:r>
          </w:p>
        </w:tc>
        <w:tc>
          <w:tcPr>
            <w:tcW w:type="dxa" w:w="1728"/>
          </w:tcPr>
          <w:p>
            <w:r>
              <w:rPr>
                <w:rFonts w:ascii="Calibri" w:hAnsi="Calibri"/>
                <w:sz w:val="22"/>
              </w:rPr>
              <w:t>Unchanged; ~119M tickets sold as of late May 2026 (up from 107M at Q1 earnings)</w:t>
            </w:r>
          </w:p>
        </w:tc>
      </w:tr>
      <w:tr>
        <w:tc>
          <w:tcPr>
            <w:tcW w:type="dxa" w:w="1728"/>
          </w:tcPr>
          <w:p>
            <w:r>
              <w:rPr>
                <w:rFonts w:ascii="Calibri" w:hAnsi="Calibri"/>
                <w:sz w:val="22"/>
              </w:rPr>
              <w:t>Ticket Sales Growth</w:t>
            </w:r>
          </w:p>
        </w:tc>
        <w:tc>
          <w:tcPr>
            <w:tcW w:type="dxa" w:w="1728"/>
          </w:tcPr>
          <w:p>
            <w:r>
              <w:rPr>
                <w:rFonts w:ascii="Calibri" w:hAnsi="Calibri"/>
                <w:sz w:val="22"/>
              </w:rPr>
              <w:t>Up double-digits YoY; show count tracking ahead of prior year</w:t>
            </w:r>
          </w:p>
        </w:tc>
        <w:tc>
          <w:tcPr>
            <w:tcW w:type="dxa" w:w="1728"/>
          </w:tcPr>
          <w:p>
            <w:r>
              <w:rPr>
                <w:rFonts w:ascii="Calibri" w:hAnsi="Calibri"/>
                <w:sz w:val="22"/>
              </w:rPr>
              <w:t>—</w:t>
            </w:r>
          </w:p>
        </w:tc>
        <w:tc>
          <w:tcPr>
            <w:tcW w:type="dxa" w:w="1728"/>
          </w:tcPr>
          <w:p>
            <w:r>
              <w:rPr>
                <w:rFonts w:ascii="Calibri" w:hAnsi="Calibri"/>
                <w:sz w:val="22"/>
              </w:rPr>
              <w:t>FY 2026 Fee-Bearing Tickets: 355.4M</w:t>
            </w:r>
          </w:p>
        </w:tc>
        <w:tc>
          <w:tcPr>
            <w:tcW w:type="dxa" w:w="1728"/>
          </w:tcPr>
          <w:p>
            <w:r>
              <w:rPr>
                <w:rFonts w:ascii="Calibri" w:hAnsi="Calibri"/>
                <w:sz w:val="22"/>
              </w:rPr>
              <w:t>Reinforced at May 2026 conference; ~11.5M tickets sold in 3 weeks post-Q1 earnings, more than same period last year</w:t>
            </w:r>
          </w:p>
        </w:tc>
      </w:tr>
      <w:tr>
        <w:tc>
          <w:tcPr>
            <w:tcW w:type="dxa" w:w="1728"/>
          </w:tcPr>
          <w:p>
            <w:r>
              <w:rPr>
                <w:rFonts w:ascii="Calibri" w:hAnsi="Calibri"/>
                <w:sz w:val="22"/>
              </w:rPr>
              <w:t>Legal Expenses (Ticketmaster)</w:t>
            </w:r>
          </w:p>
        </w:tc>
        <w:tc>
          <w:tcPr>
            <w:tcW w:type="dxa" w:w="1728"/>
          </w:tcPr>
          <w:p>
            <w:r>
              <w:rPr>
                <w:rFonts w:ascii="Calibri" w:hAnsi="Calibri"/>
                <w:sz w:val="22"/>
              </w:rPr>
              <w:t>Elevated legal/operational expenses expected to moderate over next few quarters</w:t>
            </w:r>
          </w:p>
        </w:tc>
        <w:tc>
          <w:tcPr>
            <w:tcW w:type="dxa" w:w="1728"/>
          </w:tcPr>
          <w:p>
            <w:r>
              <w:rPr>
                <w:rFonts w:ascii="Calibri" w:hAnsi="Calibri"/>
                <w:sz w:val="22"/>
              </w:rPr>
              <w:t>—</w:t>
            </w:r>
          </w:p>
        </w:tc>
        <w:tc>
          <w:tcPr>
            <w:tcW w:type="dxa" w:w="1728"/>
          </w:tcPr>
          <w:p>
            <w:r>
              <w:rPr>
                <w:rFonts w:ascii="Calibri" w:hAnsi="Calibri"/>
                <w:sz w:val="22"/>
              </w:rPr>
              <w:t>N/A (not separately guided)</w:t>
            </w:r>
          </w:p>
        </w:tc>
        <w:tc>
          <w:tcPr>
            <w:tcW w:type="dxa" w:w="1728"/>
          </w:tcPr>
          <w:p>
            <w:r>
              <w:rPr>
                <w:rFonts w:ascii="Calibri" w:hAnsi="Calibri"/>
                <w:sz w:val="22"/>
              </w:rPr>
              <w:t>Unchanged; JMOL briefs filed July 2; Tunney Act ruling expected Sept/Oct 2026; remedies phase stretches into 2027</w:t>
            </w:r>
          </w:p>
        </w:tc>
      </w:tr>
      <w:tr>
        <w:tc>
          <w:tcPr>
            <w:tcW w:type="dxa" w:w="1728"/>
          </w:tcPr>
          <w:p>
            <w:r>
              <w:rPr>
                <w:rFonts w:ascii="Calibri" w:hAnsi="Calibri"/>
                <w:sz w:val="22"/>
              </w:rPr>
              <w:t>CapEx / Venue Nation Investment</w:t>
            </w:r>
          </w:p>
        </w:tc>
        <w:tc>
          <w:tcPr>
            <w:tcW w:type="dxa" w:w="1728"/>
          </w:tcPr>
          <w:p>
            <w:r>
              <w:rPr>
                <w:rFonts w:ascii="Calibri" w:hAnsi="Calibri"/>
                <w:sz w:val="22"/>
              </w:rPr>
              <w:t>CapEx meaningfully higher than prior year; EUR 610M venue securitization raised; ~20 venues in construction or permitted</w:t>
            </w:r>
          </w:p>
        </w:tc>
        <w:tc>
          <w:tcPr>
            <w:tcW w:type="dxa" w:w="1728"/>
          </w:tcPr>
          <w:p>
            <w:r>
              <w:rPr>
                <w:rFonts w:ascii="Calibri" w:hAnsi="Calibri"/>
                <w:sz w:val="22"/>
              </w:rPr>
              <w:t>—</w:t>
            </w:r>
          </w:p>
        </w:tc>
        <w:tc>
          <w:tcPr>
            <w:tcW w:type="dxa" w:w="1728"/>
          </w:tcPr>
          <w:p>
            <w:r>
              <w:rPr>
                <w:rFonts w:ascii="Calibri" w:hAnsi="Calibri"/>
                <w:sz w:val="22"/>
              </w:rPr>
              <w:t>N/A (not in VA consensus)</w:t>
            </w:r>
          </w:p>
        </w:tc>
        <w:tc>
          <w:tcPr>
            <w:tcW w:type="dxa" w:w="1728"/>
          </w:tcPr>
          <w:p>
            <w:r>
              <w:rPr>
                <w:rFonts w:ascii="Calibri" w:hAnsi="Calibri"/>
                <w:sz w:val="22"/>
              </w:rPr>
              <w:t>EUR 610M Senior Secured Notes closed May 8, 2026 (8-K filed); venue openings expected to accelerate in 2027–2028</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flat since the Q1 2026 print — revenue consensus for Q2 2026 moved from $7.555B to $7.559B (+0.1%) and FY 2026 from $27.780B to $27.797B (+0.1%), suggesting the street is comfortable with management's guidance framework. </w:t>
      </w:r>
      <w:r>
        <w:rPr>
          <w:rFonts w:ascii="Calibri" w:hAnsi="Calibri"/>
          <w:b/>
          <w:color w:val="525866"/>
          <w:sz w:val="22"/>
        </w:rPr>
        <w:t>The lack of upward revision despite management's confident tone is the key tension</w:t>
      </w:r>
      <w:r>
        <w:rPr>
          <w:rFonts w:ascii="Calibri" w:hAnsi="Calibri"/>
          <w:color w:val="525866"/>
          <w:sz w:val="22"/>
        </w:rPr>
        <w:t xml:space="preserve"> — if management's double-digit ticket sales commentary is accurate, there may be modest upside to consensus.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12, 2026)</w:t>
            </w:r>
          </w:p>
        </w:tc>
        <w:tc>
          <w:tcPr>
            <w:tcW w:type="dxa" w:w="1080"/>
            <w:shd w:val="clear" w:color="auto" w:fill="3B4259"/>
          </w:tcPr>
          <w:p>
            <w:r>
              <w:rPr>
                <w:rFonts w:ascii="Calibri" w:hAnsi="Calibri"/>
                <w:b/>
                <w:color w:val="FFFFFF"/>
                <w:sz w:val="22"/>
              </w:rPr>
              <w:t>Current Consensus (July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$7.555B</w:t>
            </w:r>
          </w:p>
        </w:tc>
        <w:tc>
          <w:tcPr>
            <w:tcW w:type="dxa" w:w="1080"/>
          </w:tcPr>
          <w:p>
            <w:r>
              <w:rPr>
                <w:rFonts w:ascii="Calibri" w:hAnsi="Calibri"/>
                <w:sz w:val="22"/>
              </w:rPr>
              <w:t>$7.559B</w:t>
            </w:r>
          </w:p>
        </w:tc>
        <w:tc>
          <w:tcPr>
            <w:tcW w:type="dxa" w:w="1080"/>
          </w:tcPr>
          <w:p>
            <w:r>
              <w:rPr>
                <w:rFonts w:ascii="Calibri" w:hAnsi="Calibri"/>
                <w:sz w:val="22"/>
              </w:rPr>
              <w:t>+0.1%</w:t>
            </w:r>
          </w:p>
        </w:tc>
        <w:tc>
          <w:tcPr>
            <w:tcW w:type="dxa" w:w="1080"/>
          </w:tcPr>
          <w:p>
            <w:r>
              <w:rPr>
                <w:rFonts w:ascii="Calibri" w:hAnsi="Calibri"/>
                <w:sz w:val="22"/>
              </w:rPr>
              <w:t>No specific Q2 guidance; double-digit FY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$27.780B</w:t>
            </w:r>
          </w:p>
        </w:tc>
        <w:tc>
          <w:tcPr>
            <w:tcW w:type="dxa" w:w="1080"/>
          </w:tcPr>
          <w:p>
            <w:r>
              <w:rPr>
                <w:rFonts w:ascii="Calibri" w:hAnsi="Calibri"/>
                <w:sz w:val="22"/>
              </w:rPr>
              <w:t>$27.797B</w:t>
            </w:r>
          </w:p>
        </w:tc>
        <w:tc>
          <w:tcPr>
            <w:tcW w:type="dxa" w:w="1080"/>
          </w:tcPr>
          <w:p>
            <w:r>
              <w:rPr>
                <w:rFonts w:ascii="Calibri" w:hAnsi="Calibri"/>
                <w:sz w:val="22"/>
              </w:rPr>
              <w:t>+0.1%</w:t>
            </w:r>
          </w:p>
        </w:tc>
        <w:tc>
          <w:tcPr>
            <w:tcW w:type="dxa" w:w="1080"/>
          </w:tcPr>
          <w:p>
            <w:r>
              <w:rPr>
                <w:rFonts w:ascii="Calibri" w:hAnsi="Calibri"/>
                <w:sz w:val="22"/>
              </w:rPr>
              <w:t>Double-digit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(qualitative only)</w:t>
            </w:r>
          </w:p>
        </w:tc>
      </w:tr>
      <w:tr>
        <w:tc>
          <w:tcPr>
            <w:tcW w:type="dxa" w:w="1080"/>
          </w:tcPr>
          <w:p>
            <w:r>
              <w:rPr>
                <w:rFonts w:ascii="Calibri" w:hAnsi="Calibri"/>
                <w:sz w:val="22"/>
              </w:rPr>
              <w:t>Adj. Operating Income — Q2 2026</w:t>
            </w:r>
          </w:p>
        </w:tc>
        <w:tc>
          <w:tcPr>
            <w:tcW w:type="dxa" w:w="1080"/>
          </w:tcPr>
          <w:p>
            <w:r>
              <w:rPr>
                <w:rFonts w:ascii="Calibri" w:hAnsi="Calibri"/>
                <w:sz w:val="22"/>
              </w:rPr>
              <w:t>$792M</w:t>
            </w:r>
          </w:p>
        </w:tc>
        <w:tc>
          <w:tcPr>
            <w:tcW w:type="dxa" w:w="1080"/>
          </w:tcPr>
          <w:p>
            <w:r>
              <w:rPr>
                <w:rFonts w:ascii="Calibri" w:hAnsi="Calibri"/>
                <w:sz w:val="22"/>
              </w:rPr>
              <w:t>$791M</w:t>
            </w:r>
          </w:p>
        </w:tc>
        <w:tc>
          <w:tcPr>
            <w:tcW w:type="dxa" w:w="1080"/>
          </w:tcPr>
          <w:p>
            <w:r>
              <w:rPr>
                <w:rFonts w:ascii="Calibri" w:hAnsi="Calibri"/>
                <w:sz w:val="22"/>
              </w:rPr>
              <w:t>-0.2%</w:t>
            </w:r>
          </w:p>
        </w:tc>
        <w:tc>
          <w:tcPr>
            <w:tcW w:type="dxa" w:w="1080"/>
          </w:tcPr>
          <w:p>
            <w:r>
              <w:rPr>
                <w:rFonts w:ascii="Calibri" w:hAnsi="Calibri"/>
                <w:sz w:val="22"/>
              </w:rPr>
              <w:t>Q3 heavily weighted; Q4 also strong</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Operating Income — FY 2026</w:t>
            </w:r>
          </w:p>
        </w:tc>
        <w:tc>
          <w:tcPr>
            <w:tcW w:type="dxa" w:w="1080"/>
          </w:tcPr>
          <w:p>
            <w:r>
              <w:rPr>
                <w:rFonts w:ascii="Calibri" w:hAnsi="Calibri"/>
                <w:sz w:val="22"/>
              </w:rPr>
              <w:t>$2.668B</w:t>
            </w:r>
          </w:p>
        </w:tc>
        <w:tc>
          <w:tcPr>
            <w:tcW w:type="dxa" w:w="1080"/>
          </w:tcPr>
          <w:p>
            <w:r>
              <w:rPr>
                <w:rFonts w:ascii="Calibri" w:hAnsi="Calibri"/>
                <w:sz w:val="22"/>
              </w:rPr>
              <w:t>$2.666B</w:t>
            </w:r>
          </w:p>
        </w:tc>
        <w:tc>
          <w:tcPr>
            <w:tcW w:type="dxa" w:w="1080"/>
          </w:tcPr>
          <w:p>
            <w:r>
              <w:rPr>
                <w:rFonts w:ascii="Calibri" w:hAnsi="Calibri"/>
                <w:sz w:val="22"/>
              </w:rPr>
              <w:t>-0.1%</w:t>
            </w:r>
          </w:p>
        </w:tc>
        <w:tc>
          <w:tcPr>
            <w:tcW w:type="dxa" w:w="1080"/>
          </w:tcPr>
          <w:p>
            <w:r>
              <w:rPr>
                <w:rFonts w:ascii="Calibri" w:hAnsi="Calibri"/>
                <w:sz w:val="22"/>
              </w:rPr>
              <w:t>Double-digit AOI growth for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(qualitative only)</w:t>
            </w:r>
          </w:p>
        </w:tc>
      </w:tr>
      <w:tr>
        <w:tc>
          <w:tcPr>
            <w:tcW w:type="dxa" w:w="1080"/>
          </w:tcPr>
          <w:p>
            <w:r>
              <w:rPr>
                <w:rFonts w:ascii="Calibri" w:hAnsi="Calibri"/>
                <w:sz w:val="22"/>
              </w:rPr>
              <w:t>Total Fans — Q2 2026</w:t>
            </w:r>
          </w:p>
        </w:tc>
        <w:tc>
          <w:tcPr>
            <w:tcW w:type="dxa" w:w="1080"/>
          </w:tcPr>
          <w:p>
            <w:r>
              <w:rPr>
                <w:rFonts w:ascii="Calibri" w:hAnsi="Calibri"/>
                <w:sz w:val="22"/>
              </w:rPr>
              <w:t>46,789K</w:t>
            </w:r>
          </w:p>
        </w:tc>
        <w:tc>
          <w:tcPr>
            <w:tcW w:type="dxa" w:w="1080"/>
          </w:tcPr>
          <w:p>
            <w:r>
              <w:rPr>
                <w:rFonts w:ascii="Calibri" w:hAnsi="Calibri"/>
                <w:sz w:val="22"/>
              </w:rPr>
              <w:t>46,778K</w:t>
            </w:r>
          </w:p>
        </w:tc>
        <w:tc>
          <w:tcPr>
            <w:tcW w:type="dxa" w:w="1080"/>
          </w:tcPr>
          <w:p>
            <w:r>
              <w:rPr>
                <w:rFonts w:ascii="Calibri" w:hAnsi="Calibri"/>
                <w:sz w:val="22"/>
              </w:rPr>
              <w:t>-0.0%</w:t>
            </w:r>
          </w:p>
        </w:tc>
        <w:tc>
          <w:tcPr>
            <w:tcW w:type="dxa" w:w="1080"/>
          </w:tcPr>
          <w:p>
            <w:r>
              <w:rPr>
                <w:rFonts w:ascii="Calibri" w:hAnsi="Calibri"/>
                <w:sz w:val="22"/>
              </w:rPr>
              <w:t>Double-digit Venue Nation fan growth; 70% of amphitheater growth in Q3</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Fans — FY 2026</w:t>
            </w:r>
          </w:p>
        </w:tc>
        <w:tc>
          <w:tcPr>
            <w:tcW w:type="dxa" w:w="1080"/>
          </w:tcPr>
          <w:p>
            <w:r>
              <w:rPr>
                <w:rFonts w:ascii="Calibri" w:hAnsi="Calibri"/>
                <w:sz w:val="22"/>
              </w:rPr>
              <w:t>171.0M</w:t>
            </w:r>
          </w:p>
        </w:tc>
        <w:tc>
          <w:tcPr>
            <w:tcW w:type="dxa" w:w="1080"/>
          </w:tcPr>
          <w:p>
            <w:r>
              <w:rPr>
                <w:rFonts w:ascii="Calibri" w:hAnsi="Calibri"/>
                <w:sz w:val="22"/>
              </w:rPr>
              <w:t>171.1M</w:t>
            </w:r>
          </w:p>
        </w:tc>
        <w:tc>
          <w:tcPr>
            <w:tcW w:type="dxa" w:w="1080"/>
          </w:tcPr>
          <w:p>
            <w:r>
              <w:rPr>
                <w:rFonts w:ascii="Calibri" w:hAnsi="Calibri"/>
                <w:sz w:val="22"/>
              </w:rPr>
              <w:t>+0.0%</w:t>
            </w:r>
          </w:p>
        </w:tc>
        <w:tc>
          <w:tcPr>
            <w:tcW w:type="dxa" w:w="1080"/>
          </w:tcPr>
          <w:p>
            <w:r>
              <w:rPr>
                <w:rFonts w:ascii="Calibri" w:hAnsi="Calibri"/>
                <w:sz w:val="22"/>
              </w:rPr>
              <w:t>Double-digit growth from ~65M Venue Nation base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(qualitative only)</w:t>
            </w:r>
          </w:p>
        </w:tc>
      </w:tr>
      <w:tr>
        <w:tc>
          <w:tcPr>
            <w:tcW w:type="dxa" w:w="1080"/>
          </w:tcPr>
          <w:p>
            <w:r>
              <w:rPr>
                <w:rFonts w:ascii="Calibri" w:hAnsi="Calibri"/>
                <w:sz w:val="22"/>
              </w:rPr>
              <w:t>Ticketing GTV — Q2 2026</w:t>
            </w:r>
          </w:p>
        </w:tc>
        <w:tc>
          <w:tcPr>
            <w:tcW w:type="dxa" w:w="1080"/>
          </w:tcPr>
          <w:p>
            <w:r>
              <w:rPr>
                <w:rFonts w:ascii="Calibri" w:hAnsi="Calibri"/>
                <w:sz w:val="22"/>
              </w:rPr>
              <w:t>$9.634B</w:t>
            </w:r>
          </w:p>
        </w:tc>
        <w:tc>
          <w:tcPr>
            <w:tcW w:type="dxa" w:w="1080"/>
          </w:tcPr>
          <w:p>
            <w:r>
              <w:rPr>
                <w:rFonts w:ascii="Calibri" w:hAnsi="Calibri"/>
                <w:sz w:val="22"/>
              </w:rPr>
              <w:t>$9.682B</w:t>
            </w:r>
          </w:p>
        </w:tc>
        <w:tc>
          <w:tcPr>
            <w:tcW w:type="dxa" w:w="1080"/>
          </w:tcPr>
          <w:p>
            <w:r>
              <w:rPr>
                <w:rFonts w:ascii="Calibri" w:hAnsi="Calibri"/>
                <w:sz w:val="22"/>
              </w:rPr>
              <w:t>+0.5%</w:t>
            </w:r>
          </w:p>
        </w:tc>
        <w:tc>
          <w:tcPr>
            <w:tcW w:type="dxa" w:w="1080"/>
          </w:tcPr>
          <w:p>
            <w:r>
              <w:rPr>
                <w:rFonts w:ascii="Calibri" w:hAnsi="Calibri"/>
                <w:sz w:val="22"/>
              </w:rPr>
              <w:t>Mid-single-digit secondary headwind; overall GTV growth expected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Ticketing GTV — FY 2026</w:t>
            </w:r>
          </w:p>
        </w:tc>
        <w:tc>
          <w:tcPr>
            <w:tcW w:type="dxa" w:w="1080"/>
          </w:tcPr>
          <w:p>
            <w:r>
              <w:rPr>
                <w:rFonts w:ascii="Calibri" w:hAnsi="Calibri"/>
                <w:sz w:val="22"/>
              </w:rPr>
              <w:t>$39.958B</w:t>
            </w:r>
          </w:p>
        </w:tc>
        <w:tc>
          <w:tcPr>
            <w:tcW w:type="dxa" w:w="1080"/>
          </w:tcPr>
          <w:p>
            <w:r>
              <w:rPr>
                <w:rFonts w:ascii="Calibri" w:hAnsi="Calibri"/>
                <w:sz w:val="22"/>
              </w:rPr>
              <w:t>$39.892B</w:t>
            </w:r>
          </w:p>
        </w:tc>
        <w:tc>
          <w:tcPr>
            <w:tcW w:type="dxa" w:w="1080"/>
          </w:tcPr>
          <w:p>
            <w:r>
              <w:rPr>
                <w:rFonts w:ascii="Calibri" w:hAnsi="Calibri"/>
                <w:sz w:val="22"/>
              </w:rPr>
              <w:t>-0.2%</w:t>
            </w:r>
          </w:p>
        </w:tc>
        <w:tc>
          <w:tcPr>
            <w:tcW w:type="dxa" w:w="1080"/>
          </w:tcPr>
          <w:p>
            <w:r>
              <w:rPr>
                <w:rFonts w:ascii="Calibri" w:hAnsi="Calibri"/>
                <w:sz w:val="22"/>
              </w:rPr>
              <w:t>Secondary step-down; gradual decline to single-digit share over several years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(qualitative only)</w:t>
            </w:r>
          </w:p>
        </w:tc>
      </w:tr>
    </w:tbl>
    <w:p>
      <w:r>
        <w:rPr>
          <w:rFonts w:ascii="Calibri" w:hAnsi="Calibri"/>
          <w:i/>
          <w:color w:val="525866"/>
          <w:sz w:val="22"/>
        </w:rPr>
        <w:t xml:space="preserve">Source: Visible Alpha Consensus and Actuals Data. </w:t>
      </w:r>
      <w:r>
        <w:rPr>
          <w:rFonts w:ascii="Calibri" w:hAnsi="Calibri"/>
          <w:color w:val="525866"/>
          <w:sz w:val="22"/>
        </w:rPr>
        <w:t>Estimates have been remarkably stable since the Q1 print, with virtually no revision in any direction across all key KPIs. This stability reflects the street's comfort with management's qualitative guidance framework (double-digit growth, Q3-heavy phasing) rather than any specific numerical target. The absence of upward revision despite management's bullish demand commentary (double-digit ticket sales growth, record deferred revenue) suggests the street is waiting for Q2 delivery before revising higher — a potential source of upside if the print confirms the demand narrative.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LYV has significantly outperformed since Q1 2026 earnings (+17.3% vs. XLC -5.3% and SPY +0.8%), driven primarily by </w:t>
      </w:r>
      <w:r>
        <w:rPr>
          <w:rFonts w:ascii="Calibri" w:hAnsi="Calibri"/>
          <w:b/>
          <w:color w:val="525866"/>
          <w:sz w:val="22"/>
        </w:rPr>
        <w:t>sentiment re-rating on the DOJ settlement (no Ticketmaster divestiture) and management's confident demand narrative</w:t>
      </w:r>
      <w:r>
        <w:rPr>
          <w:rFonts w:ascii="Calibri" w:hAnsi="Calibri"/>
          <w:color w:val="525866"/>
          <w:sz w:val="22"/>
        </w:rPr>
        <w:t xml:space="preserve"> — not estimate revisions, which have been flat. The stock's outperformance vs. XLC is particularly notable given XLC's underperformance, suggesting LYV-specific catalysts (legal resolution, demand strength) are the primary driver.</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LYV vs. XLC (Communication Services ETF) vs. S&amp;P 500 — Indexed to 100 at Q1 2026 Earnings (May 5, 2026). Source: Stock Price Data.</w:t>
      </w:r>
    </w:p>
    <w:p>
      <w:r>
        <w:rPr>
          <w:rFonts w:ascii="Calibri" w:hAnsi="Calibri"/>
          <w:color w:val="525866"/>
          <w:sz w:val="22"/>
        </w:rPr>
        <w:t xml:space="preserve">LYV closed at $157.26 on May 5, 2026 (Q1 earnings day) and has risen to $184.43 as of July 30, 2026, a gain of +17.3% on an indexed basis. Over the same period, XLC declined -5.3% and SPY gained +0.8%, making LYV's outperformance approximately +22.6 percentage points vs. XLC and +16.5 percentage points vs. SPY. Three material events are marked: (1) </w:t>
      </w:r>
      <w:r>
        <w:rPr>
          <w:rFonts w:ascii="Calibri" w:hAnsi="Calibri"/>
          <w:b/>
          <w:color w:val="525866"/>
          <w:sz w:val="22"/>
        </w:rPr>
        <w:t>EUR 610M Senior Secured Notes Offering closed May 8</w:t>
      </w:r>
      <w:r>
        <w:rPr>
          <w:rFonts w:ascii="Calibri" w:hAnsi="Calibri"/>
          <w:color w:val="525866"/>
          <w:sz w:val="22"/>
        </w:rPr>
        <w:t xml:space="preserve"> — the stock gapped up sharply the day after Q1 earnings as the market digested the revenue beat and confident management tone; (2) </w:t>
      </w:r>
      <w:r>
        <w:rPr>
          <w:rFonts w:ascii="Calibri" w:hAnsi="Calibri"/>
          <w:b/>
          <w:color w:val="525866"/>
          <w:sz w:val="22"/>
        </w:rPr>
        <w:t>DOJ Proposed Final Judgment filed June 12</w:t>
      </w:r>
      <w:r>
        <w:rPr>
          <w:rFonts w:ascii="Calibri" w:hAnsi="Calibri"/>
          <w:color w:val="525866"/>
          <w:sz w:val="22"/>
        </w:rPr>
        <w:t xml:space="preserve"> — provided incremental legal clarity, supporting the stock's continued grind higher through June; (3) </w:t>
      </w:r>
      <w:r>
        <w:rPr>
          <w:rFonts w:ascii="Calibri" w:hAnsi="Calibri"/>
          <w:b/>
          <w:color w:val="525866"/>
          <w:sz w:val="22"/>
        </w:rPr>
        <w:t>LYV JMOL Reply Briefs filed July 2</w:t>
      </w:r>
      <w:r>
        <w:rPr>
          <w:rFonts w:ascii="Calibri" w:hAnsi="Calibri"/>
          <w:color w:val="525866"/>
          <w:sz w:val="22"/>
        </w:rPr>
        <w:t xml:space="preserve"> — the stock held its gains despite the legal filing, suggesting the market views the JMOL process as a known risk rather than a new negative. The stock's performance has been driven by sentiment and multiple re-rating rather than estimate revisions, which have been essentially flat since the Q1 print. Source: Stock Price Data.</w:t>
      </w:r>
    </w:p>
    <w:p>
      <w:r>
        <w:br w:type="page"/>
      </w:r>
    </w:p>
    <w:p>
      <w:pPr>
        <w:pStyle w:val="Heading2"/>
      </w:pPr>
      <w:r>
        <w:rPr>
          <w:rFonts w:ascii="Calibri" w:hAnsi="Calibri"/>
          <w:b/>
          <w:color w:val="3B4259"/>
          <w:sz w:val="28"/>
        </w:rPr>
        <w:t>6. Peer Commentaries — Q2 2026 Read-Throughs (Last 60 Days)</w:t>
      </w:r>
    </w:p>
    <w:p>
      <w:r>
        <w:rPr>
          <w:rFonts w:ascii="Calibri" w:hAnsi="Calibri"/>
          <w:b/>
          <w:color w:val="525866"/>
          <w:sz w:val="22"/>
        </w:rPr>
        <w:t xml:space="preserve">Key Takeaway: </w:t>
      </w:r>
      <w:r>
        <w:rPr>
          <w:rFonts w:ascii="Calibri" w:hAnsi="Calibri"/>
          <w:color w:val="525866"/>
          <w:sz w:val="22"/>
        </w:rPr>
        <w:t xml:space="preserve">Peer commentary from Q2 2026 reporting companies is broadly constructive for LYV — </w:t>
      </w:r>
      <w:r>
        <w:rPr>
          <w:rFonts w:ascii="Calibri" w:hAnsi="Calibri"/>
          <w:b/>
          <w:color w:val="525866"/>
          <w:sz w:val="22"/>
        </w:rPr>
        <w:t>MGM, MSGE, DIS, AMC, and IMAX all confirm strong consumer demand for live and premium out-of-home entertainment experiences</w:t>
      </w:r>
      <w:r>
        <w:rPr>
          <w:rFonts w:ascii="Calibri" w:hAnsi="Calibri"/>
          <w:color w:val="525866"/>
          <w:sz w:val="22"/>
        </w:rPr>
        <w:t>, with no evidence of macro-driven demand pullback. The most direct read-throughs are from MSGE (venue operator) and MGM (live events in Las Vegas), both of which confirm sold-out concerts, rising per-cap spending, and strong forward bookings.</w:t>
      </w:r>
    </w:p>
    <w:p>
      <w:pPr>
        <w:pStyle w:val="Heading3"/>
      </w:pPr>
      <w:r>
        <w:rPr>
          <w:rFonts w:ascii="Calibri" w:hAnsi="Calibri"/>
          <w:b/>
          <w:color w:val="3B4259"/>
          <w:sz w:val="24"/>
        </w:rPr>
        <w:t>MSGE — Madison Square Garden Entertainment (Q3 FY2026 Earnings, May 7, 2026)</w:t>
      </w:r>
    </w:p>
    <w:p>
      <w:r>
        <w:rPr>
          <w:rFonts w:ascii="Calibri" w:hAnsi="Calibri"/>
          <w:b/>
          <w:color w:val="525866"/>
          <w:sz w:val="22"/>
        </w:rPr>
        <w:t xml:space="preserve">Relevance: </w:t>
      </w:r>
      <w:r>
        <w:rPr>
          <w:rFonts w:ascii="Calibri" w:hAnsi="Calibri"/>
          <w:color w:val="525866"/>
          <w:sz w:val="22"/>
        </w:rPr>
        <w:t>MSGE is a direct venue operator peer, reporting on the period ending March 31, 2026, with forward commentary on summer 2026 and FY2027 concert bookings. This is the most direct read-through for LYV's venue and concert business.</w:t>
      </w:r>
    </w:p>
    <w:p>
      <w:pPr>
        <w:pStyle w:val="ListBullet"/>
        <w:ind w:left="360" w:hanging="360"/>
      </w:pPr>
      <w:r>
        <w:rPr>
          <w:rFonts w:ascii="Calibri" w:hAnsi="Calibri"/>
          <w:b/>
          <w:color w:val="525866"/>
          <w:sz w:val="22"/>
        </w:rPr>
        <w:t xml:space="preserve">Demand remains strong: </w:t>
      </w:r>
      <w:r>
        <w:rPr>
          <w:rFonts w:ascii="Calibri" w:hAnsi="Calibri"/>
          <w:color w:val="525866"/>
          <w:sz w:val="22"/>
        </w:rPr>
        <w:t xml:space="preserve">"Demand for our live entertainment offerings remain strong" — the vast majority of concerts at MSGE venues sold out in the quarter, with F&amp;B per-cap spending up YoY. </w:t>
      </w:r>
      <w:r>
        <w:rPr>
          <w:rFonts w:ascii="Calibri" w:hAnsi="Calibri"/>
          <w:i/>
          <w:color w:val="525866"/>
          <w:sz w:val="22"/>
        </w:rPr>
        <w:t xml:space="preserve">Read-through: </w:t>
      </w:r>
      <w:r>
        <w:rPr>
          <w:rFonts w:ascii="Calibri" w:hAnsi="Calibri"/>
          <w:i/>
          <w:color w:val="525866"/>
          <w:sz w:val="22"/>
        </w:rPr>
        <w:t>Supports LYV management's dismissal of 'blue dot fever' concerns; sold-out venues and rising per-caps are consistent with LYV's own commentary.</w:t>
      </w:r>
    </w:p>
    <w:p>
      <w:pPr>
        <w:pStyle w:val="ListBullet"/>
        <w:ind w:left="360" w:hanging="360"/>
      </w:pPr>
      <w:r>
        <w:rPr>
          <w:rFonts w:ascii="Calibri" w:hAnsi="Calibri"/>
          <w:b/>
          <w:color w:val="525866"/>
          <w:sz w:val="22"/>
        </w:rPr>
        <w:t xml:space="preserve">Summer 2026 pipeline exceptionally strong: </w:t>
      </w:r>
      <w:r>
        <w:rPr>
          <w:rFonts w:ascii="Calibri" w:hAnsi="Calibri"/>
          <w:color w:val="525866"/>
          <w:sz w:val="22"/>
        </w:rPr>
        <w:t xml:space="preserve">MSGE is "on track to shatter our record for number of concerts in any quarter at the venue" in the September quarter (fiscal Q1 2027), partly due to the Harry Styles 30-night residency. Concert bookings for the December quarter are also "pacing ahead." </w:t>
      </w:r>
      <w:r>
        <w:rPr>
          <w:rFonts w:ascii="Calibri" w:hAnsi="Calibri"/>
          <w:i/>
          <w:color w:val="525866"/>
          <w:sz w:val="22"/>
        </w:rPr>
        <w:t xml:space="preserve">Read-through: </w:t>
      </w:r>
      <w:r>
        <w:rPr>
          <w:rFonts w:ascii="Calibri" w:hAnsi="Calibri"/>
          <w:i/>
          <w:color w:val="525866"/>
          <w:sz w:val="22"/>
        </w:rPr>
        <w:t>Directly corroborates LYV's Q3-heavy phasing guidance; strong arena bookings at MSG are consistent with LYV's stadium/arena show count growth.</w:t>
      </w:r>
    </w:p>
    <w:p>
      <w:pPr>
        <w:pStyle w:val="ListBullet"/>
        <w:ind w:left="360" w:hanging="360"/>
      </w:pPr>
      <w:r>
        <w:rPr>
          <w:rFonts w:ascii="Calibri" w:hAnsi="Calibri"/>
          <w:b/>
          <w:color w:val="525866"/>
          <w:sz w:val="22"/>
        </w:rPr>
        <w:t xml:space="preserve">Macro resilience: </w:t>
      </w:r>
      <w:r>
        <w:rPr>
          <w:rFonts w:ascii="Calibri" w:hAnsi="Calibri"/>
          <w:color w:val="525866"/>
          <w:sz w:val="22"/>
        </w:rPr>
        <w:t xml:space="preserve">When asked about macro headwinds (energy prices), CFO Collins stated "we continue to see strong consumer demand" with sell-through rates for concerts "currently pacing ahead of where it was at the same time last year" for the next two quarters. </w:t>
      </w:r>
      <w:r>
        <w:rPr>
          <w:rFonts w:ascii="Calibri" w:hAnsi="Calibri"/>
          <w:i/>
          <w:color w:val="525866"/>
          <w:sz w:val="22"/>
        </w:rPr>
        <w:t xml:space="preserve">Read-through: </w:t>
      </w:r>
      <w:r>
        <w:rPr>
          <w:rFonts w:ascii="Calibri" w:hAnsi="Calibri"/>
          <w:i/>
          <w:color w:val="525866"/>
          <w:sz w:val="22"/>
        </w:rPr>
        <w:t>Directly validates LYV's no-pullback narrative across any geography or demographic.</w:t>
      </w:r>
    </w:p>
    <w:p>
      <w:pPr>
        <w:pStyle w:val="ListBullet"/>
        <w:ind w:left="360" w:hanging="360"/>
      </w:pPr>
      <w:r>
        <w:rPr>
          <w:rFonts w:ascii="Calibri" w:hAnsi="Calibri"/>
          <w:b/>
          <w:color w:val="525866"/>
          <w:sz w:val="22"/>
        </w:rPr>
        <w:t xml:space="preserve">FY2027 concert calendar filling up: </w:t>
      </w:r>
      <w:r>
        <w:rPr>
          <w:rFonts w:ascii="Calibri" w:hAnsi="Calibri"/>
          <w:color w:val="525866"/>
          <w:sz w:val="22"/>
        </w:rPr>
        <w:t xml:space="preserve">"What's especially encouraging is that we already see this momentum carrying into fiscal '27 with our concert calendar filling up." </w:t>
      </w:r>
      <w:r>
        <w:rPr>
          <w:rFonts w:ascii="Calibri" w:hAnsi="Calibri"/>
          <w:i/>
          <w:color w:val="525866"/>
          <w:sz w:val="22"/>
        </w:rPr>
        <w:t xml:space="preserve">Read-through: </w:t>
      </w:r>
      <w:r>
        <w:rPr>
          <w:rFonts w:ascii="Calibri" w:hAnsi="Calibri"/>
          <w:i/>
          <w:color w:val="525866"/>
          <w:sz w:val="22"/>
        </w:rPr>
        <w:t>Consistent with LYV's record deferred revenue and over 85% of large-venue shows already booked for 2026.</w:t>
      </w:r>
    </w:p>
    <w:p>
      <w:pPr>
        <w:pStyle w:val="Heading3"/>
      </w:pPr>
      <w:r>
        <w:rPr>
          <w:rFonts w:ascii="Calibri" w:hAnsi="Calibri"/>
          <w:b/>
          <w:color w:val="3B4259"/>
          <w:sz w:val="24"/>
        </w:rPr>
        <w:t>MGM Resorts International — Q2 2026 Earnings (July 29, 2026)</w:t>
      </w:r>
    </w:p>
    <w:p>
      <w:r>
        <w:rPr>
          <w:rFonts w:ascii="Calibri" w:hAnsi="Calibri"/>
          <w:b/>
          <w:color w:val="525866"/>
          <w:sz w:val="22"/>
        </w:rPr>
        <w:t xml:space="preserve">Relevance: </w:t>
      </w:r>
      <w:r>
        <w:rPr>
          <w:rFonts w:ascii="Calibri" w:hAnsi="Calibri"/>
          <w:color w:val="525866"/>
          <w:sz w:val="22"/>
        </w:rPr>
        <w:t>MGM is a major live entertainment venue operator in Las Vegas, with significant exposure to concerts, sports, and premium experiences. Q2 2026 results are directly contemporaneous with LYV's Q2 2026 reporting period.</w:t>
      </w:r>
    </w:p>
    <w:p>
      <w:pPr>
        <w:pStyle w:val="ListBullet"/>
        <w:ind w:left="360" w:hanging="360"/>
      </w:pPr>
      <w:r>
        <w:rPr>
          <w:rFonts w:ascii="Calibri" w:hAnsi="Calibri"/>
          <w:b/>
          <w:color w:val="525866"/>
          <w:sz w:val="22"/>
        </w:rPr>
        <w:t xml:space="preserve">Live is the dominant theme: </w:t>
      </w:r>
      <w:r>
        <w:rPr>
          <w:rFonts w:ascii="Calibri" w:hAnsi="Calibri"/>
          <w:color w:val="525866"/>
          <w:sz w:val="22"/>
        </w:rPr>
        <w:t xml:space="preserve">CEO Hornbuckle stated "live is what's happening right now and it's not lost on us or anybody else for that matter," with Las Vegas described as "a big event marketplace now." Record Q2 consolidated net revenue was driven partly by "strong attendance at events around town, ranging from BTS to UFC to a deep playoff run into the Stanley Cup." </w:t>
      </w:r>
      <w:r>
        <w:rPr>
          <w:rFonts w:ascii="Calibri" w:hAnsi="Calibri"/>
          <w:i/>
          <w:color w:val="525866"/>
          <w:sz w:val="22"/>
        </w:rPr>
        <w:t xml:space="preserve">Read-through: </w:t>
      </w:r>
      <w:r>
        <w:rPr>
          <w:rFonts w:ascii="Calibri" w:hAnsi="Calibri"/>
          <w:i/>
          <w:color w:val="525866"/>
          <w:sz w:val="22"/>
        </w:rPr>
        <w:t>BTS concerts in Las Vegas are a direct LYV-promoted event; strong attendance validates LYV's concert demand narrative for Q2 2026.</w:t>
      </w:r>
    </w:p>
    <w:p>
      <w:pPr>
        <w:pStyle w:val="ListBullet"/>
        <w:ind w:left="360" w:hanging="360"/>
      </w:pPr>
      <w:r>
        <w:rPr>
          <w:rFonts w:ascii="Calibri" w:hAnsi="Calibri"/>
          <w:b/>
          <w:color w:val="525866"/>
          <w:sz w:val="22"/>
        </w:rPr>
        <w:t xml:space="preserve">Premium vs. value bifurcation: </w:t>
      </w:r>
      <w:r>
        <w:rPr>
          <w:rFonts w:ascii="Calibri" w:hAnsi="Calibri"/>
          <w:color w:val="525866"/>
          <w:sz w:val="22"/>
        </w:rPr>
        <w:t xml:space="preserve">MGM sees "real health in the luxury segment" and "broadening demand for premium live experiences," while "the lower end of the segment, particularly Luxor and Excalibur, those do remain challenged." </w:t>
      </w:r>
      <w:r>
        <w:rPr>
          <w:rFonts w:ascii="Calibri" w:hAnsi="Calibri"/>
          <w:i/>
          <w:color w:val="525866"/>
          <w:sz w:val="22"/>
        </w:rPr>
        <w:t xml:space="preserve">Read-through: </w:t>
      </w:r>
      <w:r>
        <w:rPr>
          <w:rFonts w:ascii="Calibri" w:hAnsi="Calibri"/>
          <w:i/>
          <w:color w:val="525866"/>
          <w:sz w:val="22"/>
        </w:rPr>
        <w:t>Consistent with LYV's premium hospitality strategy (Vinyl Room, 25-30% premium capacity targets); the bifurcation suggests LYV's premium-tier investments are well-timed.</w:t>
      </w:r>
    </w:p>
    <w:p>
      <w:pPr>
        <w:pStyle w:val="ListBullet"/>
        <w:ind w:left="360" w:hanging="360"/>
      </w:pPr>
      <w:r>
        <w:rPr>
          <w:rFonts w:ascii="Calibri" w:hAnsi="Calibri"/>
          <w:b/>
          <w:color w:val="525866"/>
          <w:sz w:val="22"/>
        </w:rPr>
        <w:t xml:space="preserve">May was exceptionally strong: </w:t>
      </w:r>
      <w:r>
        <w:rPr>
          <w:rFonts w:ascii="Calibri" w:hAnsi="Calibri"/>
          <w:color w:val="525866"/>
          <w:sz w:val="22"/>
        </w:rPr>
        <w:t xml:space="preserve">"May was exceptionally strong, driven by events and other activity" — directly overlapping with LYV's Q2 2026 reporting period. </w:t>
      </w:r>
      <w:r>
        <w:rPr>
          <w:rFonts w:ascii="Calibri" w:hAnsi="Calibri"/>
          <w:i/>
          <w:color w:val="525866"/>
          <w:sz w:val="22"/>
        </w:rPr>
        <w:t xml:space="preserve">Read-through: </w:t>
      </w:r>
      <w:r>
        <w:rPr>
          <w:rFonts w:ascii="Calibri" w:hAnsi="Calibri"/>
          <w:i/>
          <w:color w:val="525866"/>
          <w:sz w:val="22"/>
        </w:rPr>
        <w:t>Positive signal for LYV's Q2 concert revenue, particularly for stadium and arena events in May.</w:t>
      </w:r>
    </w:p>
    <w:p>
      <w:pPr>
        <w:pStyle w:val="ListBullet"/>
        <w:ind w:left="360" w:hanging="360"/>
      </w:pPr>
      <w:r>
        <w:rPr>
          <w:rFonts w:ascii="Calibri" w:hAnsi="Calibri"/>
          <w:b/>
          <w:color w:val="525866"/>
          <w:sz w:val="22"/>
        </w:rPr>
        <w:t xml:space="preserve">International headwind: </w:t>
      </w:r>
      <w:r>
        <w:rPr>
          <w:rFonts w:ascii="Calibri" w:hAnsi="Calibri"/>
          <w:color w:val="525866"/>
          <w:sz w:val="22"/>
        </w:rPr>
        <w:t xml:space="preserve">Las Vegas is "still down on international travel" and "down 3.5 million visitors from our all-time peak." </w:t>
      </w:r>
      <w:r>
        <w:rPr>
          <w:rFonts w:ascii="Calibri" w:hAnsi="Calibri"/>
          <w:i/>
          <w:color w:val="525866"/>
          <w:sz w:val="22"/>
        </w:rPr>
        <w:t xml:space="preserve">Read-through: </w:t>
      </w:r>
      <w:r>
        <w:rPr>
          <w:rFonts w:ascii="Calibri" w:hAnsi="Calibri"/>
          <w:i/>
          <w:color w:val="525866"/>
          <w:sz w:val="22"/>
        </w:rPr>
        <w:t>Modest negative for LYV's international fan count at US venues, though LYV's international growth is primarily driven by non-US markets (Latin America, Asia) which are not affected by US inbound travel trends.</w:t>
      </w:r>
    </w:p>
    <w:p>
      <w:pPr>
        <w:pStyle w:val="Heading3"/>
      </w:pPr>
      <w:r>
        <w:rPr>
          <w:rFonts w:ascii="Calibri" w:hAnsi="Calibri"/>
          <w:b/>
          <w:color w:val="3B4259"/>
          <w:sz w:val="24"/>
        </w:rPr>
        <w:t>Walt Disney Company — Q2 FY2026 Earnings (May 6 release / May 11 call, 2026)</w:t>
      </w:r>
    </w:p>
    <w:p>
      <w:r>
        <w:rPr>
          <w:rFonts w:ascii="Calibri" w:hAnsi="Calibri"/>
          <w:b/>
          <w:color w:val="525866"/>
          <w:sz w:val="22"/>
        </w:rPr>
        <w:t xml:space="preserve">Relevance: </w:t>
      </w:r>
      <w:r>
        <w:rPr>
          <w:rFonts w:ascii="Calibri" w:hAnsi="Calibri"/>
          <w:color w:val="525866"/>
          <w:sz w:val="22"/>
        </w:rPr>
        <w:t>Disney Experiences (parks, cruise lines, immersive experiences) is a proxy for consumer discretionary spending on out-of-home entertainment. Disney's Q2 FY2026 covers the January–March 2026 period, providing a leading indicator for Q2 2026 consumer trends.</w:t>
      </w:r>
    </w:p>
    <w:p>
      <w:pPr>
        <w:pStyle w:val="ListBullet"/>
        <w:ind w:left="360" w:hanging="360"/>
      </w:pPr>
      <w:r>
        <w:rPr>
          <w:rFonts w:ascii="Calibri" w:hAnsi="Calibri"/>
          <w:b/>
          <w:color w:val="525866"/>
          <w:sz w:val="22"/>
        </w:rPr>
        <w:t xml:space="preserve">Sustained consumer demand for live experiences: </w:t>
      </w:r>
      <w:r>
        <w:rPr>
          <w:rFonts w:ascii="Calibri" w:hAnsi="Calibri"/>
          <w:color w:val="525866"/>
          <w:sz w:val="22"/>
        </w:rPr>
        <w:t xml:space="preserve">CEO D'Amaro stated Disney "remain[s] mindful of the near-term variability, but are also well positioned to benefit from sustained consumer demand for live entertainment at a scale unique to Disney." Disney Experiences revenue grew 7% and segment operating income grew 5%, both ahead of prior expectations and representing second-quarter records. </w:t>
      </w:r>
      <w:r>
        <w:rPr>
          <w:rFonts w:ascii="Calibri" w:hAnsi="Calibri"/>
          <w:i/>
          <w:color w:val="525866"/>
          <w:sz w:val="22"/>
        </w:rPr>
        <w:t xml:space="preserve">Read-through: </w:t>
      </w:r>
      <w:r>
        <w:rPr>
          <w:rFonts w:ascii="Calibri" w:hAnsi="Calibri"/>
          <w:i/>
          <w:color w:val="525866"/>
          <w:sz w:val="22"/>
        </w:rPr>
        <w:t>Broad validation of consumer willingness to spend on premium out-of-home experiences, consistent with LYV's no-pullback narrative.</w:t>
      </w:r>
    </w:p>
    <w:p>
      <w:pPr>
        <w:pStyle w:val="ListBullet"/>
        <w:ind w:left="360" w:hanging="360"/>
      </w:pPr>
      <w:r>
        <w:rPr>
          <w:rFonts w:ascii="Calibri" w:hAnsi="Calibri"/>
          <w:b/>
          <w:color w:val="525866"/>
          <w:sz w:val="22"/>
        </w:rPr>
        <w:t xml:space="preserve">No macro weakness observed: </w:t>
      </w:r>
      <w:r>
        <w:rPr>
          <w:rFonts w:ascii="Calibri" w:hAnsi="Calibri"/>
          <w:color w:val="525866"/>
          <w:sz w:val="22"/>
        </w:rPr>
        <w:t xml:space="preserve">Disney has "not observed a change in consumer behavior due to elevated gas prices" and is "not currently seeing a material impact on the remainder of the fiscal year based on forward bookings." Disney World bookings are "pacing up strongly." </w:t>
      </w:r>
      <w:r>
        <w:rPr>
          <w:rFonts w:ascii="Calibri" w:hAnsi="Calibri"/>
          <w:i/>
          <w:color w:val="525866"/>
          <w:sz w:val="22"/>
        </w:rPr>
        <w:t xml:space="preserve">Read-through: </w:t>
      </w:r>
      <w:r>
        <w:rPr>
          <w:rFonts w:ascii="Calibri" w:hAnsi="Calibri"/>
          <w:i/>
          <w:color w:val="525866"/>
          <w:sz w:val="22"/>
        </w:rPr>
        <w:t>Directly supports LYV management's dismissal of macro concerns; if Disney's premium experience consumers are not pulling back, LYV's concert-going demographic is unlikely to either.</w:t>
      </w:r>
    </w:p>
    <w:p>
      <w:pPr>
        <w:pStyle w:val="ListBullet"/>
        <w:ind w:left="360" w:hanging="360"/>
      </w:pPr>
      <w:r>
        <w:rPr>
          <w:rFonts w:ascii="Calibri" w:hAnsi="Calibri"/>
          <w:b/>
          <w:color w:val="525866"/>
          <w:sz w:val="22"/>
        </w:rPr>
        <w:t xml:space="preserve">Domestic park attendance headwind: </w:t>
      </w:r>
      <w:r>
        <w:rPr>
          <w:rFonts w:ascii="Calibri" w:hAnsi="Calibri"/>
          <w:color w:val="525866"/>
          <w:sz w:val="22"/>
        </w:rPr>
        <w:t xml:space="preserve">Domestic park attendance was down 1% in Q2, attributed to international visitation headwinds and "Epic-related" factors, expected to ease in Q3. </w:t>
      </w:r>
      <w:r>
        <w:rPr>
          <w:rFonts w:ascii="Calibri" w:hAnsi="Calibri"/>
          <w:i/>
          <w:color w:val="525866"/>
          <w:sz w:val="22"/>
        </w:rPr>
        <w:t xml:space="preserve">Read-through: </w:t>
      </w:r>
      <w:r>
        <w:rPr>
          <w:rFonts w:ascii="Calibri" w:hAnsi="Calibri"/>
          <w:i/>
          <w:color w:val="525866"/>
          <w:sz w:val="22"/>
        </w:rPr>
        <w:t>Modest caution flag for US domestic attendance trends, though LYV's amphitheater/arena business is less dependent on international inbound tourism than Disney's theme parks.</w:t>
      </w:r>
    </w:p>
    <w:p>
      <w:pPr>
        <w:pStyle w:val="ListBullet"/>
        <w:ind w:left="360" w:hanging="360"/>
      </w:pPr>
      <w:r>
        <w:rPr>
          <w:rFonts w:ascii="Calibri" w:hAnsi="Calibri"/>
          <w:b/>
          <w:color w:val="525866"/>
          <w:sz w:val="22"/>
        </w:rPr>
        <w:t xml:space="preserve">AI-driven content tailwind for live experiences: </w:t>
      </w:r>
      <w:r>
        <w:rPr>
          <w:rFonts w:ascii="Calibri" w:hAnsi="Calibri"/>
          <w:color w:val="525866"/>
          <w:sz w:val="22"/>
        </w:rPr>
        <w:t xml:space="preserve">Disney believes its Experiences business is "well positioned structurally in a world of rising AI-driven content," suggesting consumers may place even greater value on "authentic real-life experiences" in the future. </w:t>
      </w:r>
      <w:r>
        <w:rPr>
          <w:rFonts w:ascii="Calibri" w:hAnsi="Calibri"/>
          <w:i/>
          <w:color w:val="525866"/>
          <w:sz w:val="22"/>
        </w:rPr>
        <w:t xml:space="preserve">Read-through: </w:t>
      </w:r>
      <w:r>
        <w:rPr>
          <w:rFonts w:ascii="Calibri" w:hAnsi="Calibri"/>
          <w:i/>
          <w:color w:val="525866"/>
          <w:sz w:val="22"/>
        </w:rPr>
        <w:t>Structural tailwind for LYV's live entertainment thesis; AI-generated content may increase the scarcity premium of live events.</w:t>
      </w:r>
    </w:p>
    <w:p>
      <w:pPr>
        <w:pStyle w:val="Heading3"/>
      </w:pPr>
      <w:r>
        <w:rPr>
          <w:rFonts w:ascii="Calibri" w:hAnsi="Calibri"/>
          <w:b/>
          <w:color w:val="3B4259"/>
          <w:sz w:val="24"/>
        </w:rPr>
        <w:t>AMC Entertainment — Q2 2026 Earnings (July 20, 2026)</w:t>
      </w:r>
    </w:p>
    <w:p>
      <w:r>
        <w:rPr>
          <w:rFonts w:ascii="Calibri" w:hAnsi="Calibri"/>
          <w:b/>
          <w:color w:val="525866"/>
          <w:sz w:val="22"/>
        </w:rPr>
        <w:t xml:space="preserve">Relevance: </w:t>
      </w:r>
      <w:r>
        <w:rPr>
          <w:rFonts w:ascii="Calibri" w:hAnsi="Calibri"/>
          <w:color w:val="525866"/>
          <w:sz w:val="22"/>
        </w:rPr>
        <w:t>AMC is a proxy for consumer out-of-home entertainment spending and discretionary behavior. Q2 2026 results are directly contemporaneous with LYV's reporting period.</w:t>
      </w:r>
    </w:p>
    <w:p>
      <w:pPr>
        <w:pStyle w:val="ListBullet"/>
        <w:ind w:left="360" w:hanging="360"/>
      </w:pPr>
      <w:r>
        <w:rPr>
          <w:rFonts w:ascii="Calibri" w:hAnsi="Calibri"/>
          <w:b/>
          <w:color w:val="525866"/>
          <w:sz w:val="22"/>
        </w:rPr>
        <w:t xml:space="preserve">Record Q2 results: </w:t>
      </w:r>
      <w:r>
        <w:rPr>
          <w:rFonts w:ascii="Calibri" w:hAnsi="Calibri"/>
          <w:color w:val="525866"/>
          <w:sz w:val="22"/>
        </w:rPr>
        <w:t xml:space="preserve">AMC achieved "all time record revenue and all time record adjusted EBITDA" for Q2 2026, with 71M+ guests worldwide (+13.5% YoY) and total revenues up 14.2% YoY to ~$1.6B. Adjusted EBITDA surged 70% to $321.4M. </w:t>
      </w:r>
      <w:r>
        <w:rPr>
          <w:rFonts w:ascii="Calibri" w:hAnsi="Calibri"/>
          <w:i/>
          <w:color w:val="525866"/>
          <w:sz w:val="22"/>
        </w:rPr>
        <w:t xml:space="preserve">Read-through: </w:t>
      </w:r>
      <w:r>
        <w:rPr>
          <w:rFonts w:ascii="Calibri" w:hAnsi="Calibri"/>
          <w:i/>
          <w:color w:val="525866"/>
          <w:sz w:val="22"/>
        </w:rPr>
        <w:t>Strong consumer appetite for out-of-home entertainment in Q2 2026 is broadly positive for LYV's concert business in the same period.</w:t>
      </w:r>
    </w:p>
    <w:p>
      <w:pPr>
        <w:pStyle w:val="ListBullet"/>
        <w:ind w:left="360" w:hanging="360"/>
      </w:pPr>
      <w:r>
        <w:rPr>
          <w:rFonts w:ascii="Calibri" w:hAnsi="Calibri"/>
          <w:b/>
          <w:color w:val="525866"/>
          <w:sz w:val="22"/>
        </w:rPr>
        <w:t xml:space="preserve">Concerts cited as premium-priced competition: </w:t>
      </w:r>
      <w:r>
        <w:rPr>
          <w:rFonts w:ascii="Calibri" w:hAnsi="Calibri"/>
          <w:color w:val="525866"/>
          <w:sz w:val="22"/>
        </w:rPr>
        <w:t xml:space="preserve">Analyst Chad Beynon noted the movie industry "has always been affordable compared to other out-of-home options, particularly what we're seeing with World Cup pricing, concerts this summer and a number of other subsectors." </w:t>
      </w:r>
      <w:r>
        <w:rPr>
          <w:rFonts w:ascii="Calibri" w:hAnsi="Calibri"/>
          <w:i/>
          <w:color w:val="525866"/>
          <w:sz w:val="22"/>
        </w:rPr>
        <w:t xml:space="preserve">Read-through: </w:t>
      </w:r>
      <w:r>
        <w:rPr>
          <w:rFonts w:ascii="Calibri" w:hAnsi="Calibri"/>
          <w:i/>
          <w:color w:val="525866"/>
          <w:sz w:val="22"/>
        </w:rPr>
        <w:t>Confirms that concert pricing is perceived as elevated vs. movies, validating LYV's premium positioning but also flagging potential affordability sensitivity at the margin.</w:t>
      </w:r>
    </w:p>
    <w:p>
      <w:pPr>
        <w:pStyle w:val="ListBullet"/>
        <w:ind w:left="360" w:hanging="360"/>
      </w:pPr>
      <w:r>
        <w:rPr>
          <w:rFonts w:ascii="Calibri" w:hAnsi="Calibri"/>
          <w:b/>
          <w:color w:val="525866"/>
          <w:sz w:val="22"/>
        </w:rPr>
        <w:t xml:space="preserve">Ancillary spending at all-time highs: </w:t>
      </w:r>
      <w:r>
        <w:rPr>
          <w:rFonts w:ascii="Calibri" w:hAnsi="Calibri"/>
          <w:color w:val="525866"/>
          <w:sz w:val="22"/>
        </w:rPr>
        <w:t xml:space="preserve">Food, beverage, and merchandise sales grew 15.3% globally, with revenue per patron hitting "new all time highs." AMC expects to exceed $100M in movie-themed merchandise for FY 2026. </w:t>
      </w:r>
      <w:r>
        <w:rPr>
          <w:rFonts w:ascii="Calibri" w:hAnsi="Calibri"/>
          <w:i/>
          <w:color w:val="525866"/>
          <w:sz w:val="22"/>
        </w:rPr>
        <w:t xml:space="preserve">Read-through: </w:t>
      </w:r>
      <w:r>
        <w:rPr>
          <w:rFonts w:ascii="Calibri" w:hAnsi="Calibri"/>
          <w:i/>
          <w:color w:val="525866"/>
          <w:sz w:val="22"/>
        </w:rPr>
        <w:t>Consistent with LYV's per-cap spending growth narrative at Venue Nation properties; consumers are willing to spend on ancillary experiences beyond the core ticket.</w:t>
      </w:r>
    </w:p>
    <w:p>
      <w:pPr>
        <w:pStyle w:val="Heading3"/>
      </w:pPr>
      <w:r>
        <w:rPr>
          <w:rFonts w:ascii="Calibri" w:hAnsi="Calibri"/>
          <w:b/>
          <w:color w:val="3B4259"/>
          <w:sz w:val="24"/>
        </w:rPr>
        <w:t>IMAX Corporation — Q2 2026 Earnings (July 23, 2026)</w:t>
      </w:r>
    </w:p>
    <w:p>
      <w:r>
        <w:rPr>
          <w:rFonts w:ascii="Calibri" w:hAnsi="Calibri"/>
          <w:b/>
          <w:color w:val="525866"/>
          <w:sz w:val="22"/>
        </w:rPr>
        <w:t xml:space="preserve">Relevance: </w:t>
      </w:r>
      <w:r>
        <w:rPr>
          <w:rFonts w:ascii="Calibri" w:hAnsi="Calibri"/>
          <w:color w:val="525866"/>
          <w:sz w:val="22"/>
        </w:rPr>
        <w:t>IMAX is a premium out-of-home entertainment operator with strong fan engagement data. Q2 2026 results are directly contemporaneous with LYV's reporting period.</w:t>
      </w:r>
    </w:p>
    <w:p>
      <w:pPr>
        <w:pStyle w:val="ListBullet"/>
        <w:ind w:left="360" w:hanging="360"/>
      </w:pPr>
      <w:r>
        <w:rPr>
          <w:rFonts w:ascii="Calibri" w:hAnsi="Calibri"/>
          <w:b/>
          <w:color w:val="525866"/>
          <w:sz w:val="22"/>
        </w:rPr>
        <w:t xml:space="preserve">Extraordinary fan demand for premium experiences: </w:t>
      </w:r>
      <w:r>
        <w:rPr>
          <w:rFonts w:ascii="Calibri" w:hAnsi="Calibri"/>
          <w:color w:val="525866"/>
          <w:sz w:val="22"/>
        </w:rPr>
        <w:t xml:space="preserve">"The Odyssey" generated "a global fan frenzy for the Imax experience," with $52M in its global opening weekend (biggest in IMAX history on a like-for-like basis), 75% domestic network occupancy ("an unheard of number"), and pre-sales that "crashed every major ticketing platform in the United States." </w:t>
      </w:r>
      <w:r>
        <w:rPr>
          <w:rFonts w:ascii="Calibri" w:hAnsi="Calibri"/>
          <w:i/>
          <w:color w:val="525866"/>
          <w:sz w:val="22"/>
        </w:rPr>
        <w:t xml:space="preserve">Read-through: </w:t>
      </w:r>
      <w:r>
        <w:rPr>
          <w:rFonts w:ascii="Calibri" w:hAnsi="Calibri"/>
          <w:i/>
          <w:color w:val="525866"/>
          <w:sz w:val="22"/>
        </w:rPr>
        <w:t>Extreme consumer willingness to pay for premium, scarce experiences is directly analogous to LYV's high-demand concert on-sales; the ticketing platform crashes are a direct read-through to Ticketmaster's high-demand on-sale challenges.</w:t>
      </w:r>
    </w:p>
    <w:p>
      <w:pPr>
        <w:pStyle w:val="ListBullet"/>
        <w:ind w:left="360" w:hanging="360"/>
      </w:pPr>
      <w:r>
        <w:rPr>
          <w:rFonts w:ascii="Calibri" w:hAnsi="Calibri"/>
          <w:b/>
          <w:color w:val="525866"/>
          <w:sz w:val="22"/>
        </w:rPr>
        <w:t xml:space="preserve">Fans traveling internationally for experiences: </w:t>
      </w:r>
      <w:r>
        <w:rPr>
          <w:rFonts w:ascii="Calibri" w:hAnsi="Calibri"/>
          <w:color w:val="525866"/>
          <w:sz w:val="22"/>
        </w:rPr>
        <w:t xml:space="preserve">"Fans are flying across countries, if not continents, to experience the Odyssey in Imax 70 millimeter, selling out screenings around the clock." </w:t>
      </w:r>
      <w:r>
        <w:rPr>
          <w:rFonts w:ascii="Calibri" w:hAnsi="Calibri"/>
          <w:i/>
          <w:color w:val="525866"/>
          <w:sz w:val="22"/>
        </w:rPr>
        <w:t xml:space="preserve">Read-through: </w:t>
      </w:r>
      <w:r>
        <w:rPr>
          <w:rFonts w:ascii="Calibri" w:hAnsi="Calibri"/>
          <w:i/>
          <w:color w:val="525866"/>
          <w:sz w:val="22"/>
        </w:rPr>
        <w:t>Validates LYV's thesis that live/premium experiences command extraordinary consumer loyalty and discretionary spending, supporting the premium hospitality investment thesis.</w:t>
      </w:r>
    </w:p>
    <w:p>
      <w:pPr>
        <w:pStyle w:val="ListBullet"/>
        <w:ind w:left="360" w:hanging="360"/>
      </w:pPr>
      <w:r>
        <w:rPr>
          <w:rFonts w:ascii="Calibri" w:hAnsi="Calibri"/>
          <w:b/>
          <w:color w:val="525866"/>
          <w:sz w:val="22"/>
        </w:rPr>
        <w:t xml:space="preserve">Concert documentary as cultural signal: </w:t>
      </w:r>
      <w:r>
        <w:rPr>
          <w:rFonts w:ascii="Calibri" w:hAnsi="Calibri"/>
          <w:color w:val="525866"/>
          <w:sz w:val="22"/>
        </w:rPr>
        <w:t xml:space="preserve">IMAX's upcoming slate includes "Don't Look Back in Anger, the concert documentary chronicling Oasis' massive 2025 reunion tour." </w:t>
      </w:r>
      <w:r>
        <w:rPr>
          <w:rFonts w:ascii="Calibri" w:hAnsi="Calibri"/>
          <w:i/>
          <w:color w:val="525866"/>
          <w:sz w:val="22"/>
        </w:rPr>
        <w:t xml:space="preserve">Read-through: </w:t>
      </w:r>
      <w:r>
        <w:rPr>
          <w:rFonts w:ascii="Calibri" w:hAnsi="Calibri"/>
          <w:i/>
          <w:color w:val="525866"/>
          <w:sz w:val="22"/>
        </w:rPr>
        <w:t>Major concert tours continue to hold significant cultural and commercial appeal; the Oasis reunion tour was a LYV-promoted event, and the documentary's theatrical release extends the monetization window.</w:t>
      </w:r>
    </w:p>
    <w:p>
      <w:pPr>
        <w:pStyle w:val="ListBullet"/>
        <w:ind w:left="360" w:hanging="360"/>
      </w:pPr>
      <w:r>
        <w:rPr>
          <w:rFonts w:ascii="Calibri" w:hAnsi="Calibri"/>
          <w:b/>
          <w:color w:val="525866"/>
          <w:sz w:val="22"/>
        </w:rPr>
        <w:t xml:space="preserve">Merchandise as untapped opportunity: </w:t>
      </w:r>
      <w:r>
        <w:rPr>
          <w:rFonts w:ascii="Calibri" w:hAnsi="Calibri"/>
          <w:color w:val="525866"/>
          <w:sz w:val="22"/>
        </w:rPr>
        <w:t xml:space="preserve">IMAX's first-ever popcorn bucket sold out in under two hours, with subsequent drops selling out in 7 minutes and 63 seconds respectively. </w:t>
      </w:r>
      <w:r>
        <w:rPr>
          <w:rFonts w:ascii="Calibri" w:hAnsi="Calibri"/>
          <w:i/>
          <w:color w:val="525866"/>
          <w:sz w:val="22"/>
        </w:rPr>
        <w:t xml:space="preserve">Read-through: </w:t>
      </w:r>
      <w:r>
        <w:rPr>
          <w:rFonts w:ascii="Calibri" w:hAnsi="Calibri"/>
          <w:i/>
          <w:color w:val="525866"/>
          <w:sz w:val="22"/>
        </w:rPr>
        <w:t>Validates LYV's premium hospitality and merchandise strategy at Venue Nation properties; fans are willing to pay for branded, experience-adjacent products.</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DOJ Proposed Final Judgment filed June 12, 2026</w:t>
      </w:r>
      <w:r>
        <w:rPr>
          <w:rFonts w:ascii="Calibri" w:hAnsi="Calibri"/>
          <w:color w:val="525866"/>
          <w:sz w:val="22"/>
        </w:rPr>
        <w:t xml:space="preserve"> — which formalized the settlement terms (no Ticketmaster divestiture) and moved the Tunney Act process forward, providing incremental legal clarity. The JMOL reply briefs filed July 2 represent LYV's final written push to erase the state AG jury verdict, with a ruling expected before the remedies phase begins.</w:t>
      </w:r>
    </w:p>
    <w:p>
      <w:pPr>
        <w:pStyle w:val="ListBullet"/>
        <w:ind w:left="360" w:hanging="360"/>
      </w:pPr>
      <w:r>
        <w:rPr>
          <w:rFonts w:ascii="Calibri" w:hAnsi="Calibri"/>
          <w:b/>
          <w:color w:val="525866"/>
          <w:sz w:val="22"/>
        </w:rPr>
        <w:t xml:space="preserve">July 2, 2026 — LYV JMOL/Rule 59 Reply Briefs Filed: </w:t>
      </w:r>
      <w:r>
        <w:rPr>
          <w:rFonts w:ascii="Calibri" w:hAnsi="Calibri"/>
          <w:color w:val="525866"/>
          <w:sz w:val="22"/>
        </w:rPr>
        <w:t xml:space="preserve">Live Nation and Ticketmaster filed reply briefs arguing the state AG jury verdict should be set aside because the states won with "made-for-juries emotional arguments" rather than market-specific antitrust proof. LYV is pursuing two forms of post-trial relief: Rule 50(b) (judgment as a matter of law) and Rule 59 (new trial). </w:t>
      </w:r>
      <w:r>
        <w:rPr>
          <w:rFonts w:ascii="Calibri" w:hAnsi="Calibri"/>
          <w:i/>
          <w:color w:val="525866"/>
          <w:sz w:val="22"/>
        </w:rPr>
        <w:t xml:space="preserve">Implication: </w:t>
      </w:r>
      <w:r>
        <w:rPr>
          <w:rFonts w:ascii="Calibri" w:hAnsi="Calibri"/>
          <w:i/>
          <w:color w:val="525866"/>
          <w:sz w:val="22"/>
        </w:rPr>
        <w:t>If the court grants JMOL, the remedies phase (including potential Ticketmaster divestiture) would be avoided; if denied, the remedies phase begins. Judge Subramanian has not yet ruled.</w:t>
      </w:r>
    </w:p>
    <w:p>
      <w:pPr>
        <w:pStyle w:val="ListBullet"/>
        <w:ind w:left="360" w:hanging="360"/>
      </w:pPr>
      <w:r>
        <w:rPr>
          <w:rFonts w:ascii="Calibri" w:hAnsi="Calibri"/>
          <w:b/>
          <w:color w:val="525866"/>
          <w:sz w:val="22"/>
        </w:rPr>
        <w:t xml:space="preserve">June 12, 2026 — DOJ Proposed Final Judgment Filed: </w:t>
      </w:r>
      <w:r>
        <w:rPr>
          <w:rFonts w:ascii="Calibri" w:hAnsi="Calibri"/>
          <w:color w:val="525866"/>
          <w:sz w:val="22"/>
        </w:rPr>
        <w:t xml:space="preserve">The DOJ and six settling states filed the Proposed Final Judgment, formally moving the Tunney Act public-comment process forward (published in Federal Register July 6). Key terms: non-exclusive ticketing contracts, Ticketmaster back-end API access for rivals, owned amphitheaters open to third-party promoters (up to 50% of tickets via other vendors), divestiture of 13 exclusive booking agreements, 15% service fee cap at owned amphitheaters, $280M settlement fund. No Ticketmaster divestiture required. </w:t>
      </w:r>
      <w:r>
        <w:rPr>
          <w:rFonts w:ascii="Calibri" w:hAnsi="Calibri"/>
          <w:i/>
          <w:color w:val="525866"/>
          <w:sz w:val="22"/>
        </w:rPr>
        <w:t xml:space="preserve">Implication: </w:t>
      </w:r>
      <w:r>
        <w:rPr>
          <w:rFonts w:ascii="Calibri" w:hAnsi="Calibri"/>
          <w:i/>
          <w:color w:val="525866"/>
          <w:sz w:val="22"/>
        </w:rPr>
        <w:t>Judge's Tunney Act ruling expected September/October 2026; management views the amphitheater opening as net positive for venue economics. The judge has publicly stated the DOJ settlement is a "good framework."</w:t>
      </w:r>
    </w:p>
    <w:p>
      <w:pPr>
        <w:pStyle w:val="ListBullet"/>
        <w:ind w:left="360" w:hanging="360"/>
      </w:pPr>
      <w:r>
        <w:rPr>
          <w:rFonts w:ascii="Calibri" w:hAnsi="Calibri"/>
          <w:b/>
          <w:color w:val="525866"/>
          <w:sz w:val="22"/>
        </w:rPr>
        <w:t xml:space="preserve">July 17–24, 2026 — 21 Plaintiff States Seek Discovery into DOJ Settlement: </w:t>
      </w:r>
      <w:r>
        <w:rPr>
          <w:rFonts w:ascii="Calibri" w:hAnsi="Calibri"/>
          <w:color w:val="525866"/>
          <w:sz w:val="22"/>
        </w:rPr>
        <w:t xml:space="preserve">21 of the 34 plaintiff states wrote that they have "significant concerns that the Settlement is not in the public interest," arguing the proposed terms "appear to be insufficient to meaningfully increase competition." The court required any opposition to be filed by July 24, 2026. </w:t>
      </w:r>
      <w:r>
        <w:rPr>
          <w:rFonts w:ascii="Calibri" w:hAnsi="Calibri"/>
          <w:i/>
          <w:color w:val="525866"/>
          <w:sz w:val="22"/>
        </w:rPr>
        <w:t xml:space="preserve">Implication: </w:t>
      </w:r>
      <w:r>
        <w:rPr>
          <w:rFonts w:ascii="Calibri" w:hAnsi="Calibri"/>
          <w:i/>
          <w:color w:val="525866"/>
          <w:sz w:val="22"/>
        </w:rPr>
        <w:t>Adds complexity to the Tunney Act review; if the judge allows discovery, it could delay the settlement finalization and extend legal uncertainty into 2027.</w:t>
      </w:r>
    </w:p>
    <w:p>
      <w:pPr>
        <w:pStyle w:val="ListBullet"/>
        <w:ind w:left="360" w:hanging="360"/>
      </w:pPr>
      <w:r>
        <w:rPr>
          <w:rFonts w:ascii="Calibri" w:hAnsi="Calibri"/>
          <w:b/>
          <w:color w:val="525866"/>
          <w:sz w:val="22"/>
        </w:rPr>
        <w:t xml:space="preserve">May 8, 2026 — EUR 610M Senior Secured Notes Offering Closed: </w:t>
      </w:r>
      <w:r>
        <w:rPr>
          <w:rFonts w:ascii="Calibri" w:hAnsi="Calibri"/>
          <w:color w:val="525866"/>
          <w:sz w:val="22"/>
        </w:rPr>
        <w:t xml:space="preserve">Live Nation's subsidiary closed a EUR 610M senior secured notes offering, part of the venue securitization structure (PropCo/OpCo) designed to fund Venue Nation expansion at higher leverage against real estate collateral. </w:t>
      </w:r>
      <w:r>
        <w:rPr>
          <w:rFonts w:ascii="Calibri" w:hAnsi="Calibri"/>
          <w:i/>
          <w:color w:val="525866"/>
          <w:sz w:val="22"/>
        </w:rPr>
        <w:t xml:space="preserve">Implication: </w:t>
      </w:r>
      <w:r>
        <w:rPr>
          <w:rFonts w:ascii="Calibri" w:hAnsi="Calibri"/>
          <w:i/>
          <w:color w:val="525866"/>
          <w:sz w:val="22"/>
        </w:rPr>
        <w:t>Provides capital for accelerated venue construction; ~20 venues currently in construction or fully permitted; venue openings expected to accelerate in 2027–2028.</w:t>
      </w:r>
    </w:p>
    <w:p>
      <w:pPr>
        <w:pStyle w:val="ListBullet"/>
        <w:ind w:left="360" w:hanging="360"/>
      </w:pPr>
      <w:r>
        <w:rPr>
          <w:rFonts w:ascii="Calibri" w:hAnsi="Calibri"/>
          <w:b/>
          <w:color w:val="525866"/>
          <w:sz w:val="22"/>
        </w:rPr>
        <w:t xml:space="preserve">June 12, 2026 — Shareholders Approve All Proposals at Annual Meeting: </w:t>
      </w:r>
      <w:r>
        <w:rPr>
          <w:rFonts w:ascii="Calibri" w:hAnsi="Calibri"/>
          <w:color w:val="525866"/>
          <w:sz w:val="22"/>
        </w:rPr>
        <w:t xml:space="preserve">All proposals passed at the annual meeting, including board elections and executive compensation. </w:t>
      </w:r>
      <w:r>
        <w:rPr>
          <w:rFonts w:ascii="Calibri" w:hAnsi="Calibri"/>
          <w:i/>
          <w:color w:val="525866"/>
          <w:sz w:val="22"/>
        </w:rPr>
        <w:t xml:space="preserve">Implication: </w:t>
      </w:r>
      <w:r>
        <w:rPr>
          <w:rFonts w:ascii="Calibri" w:hAnsi="Calibri"/>
          <w:i/>
          <w:color w:val="525866"/>
          <w:sz w:val="22"/>
        </w:rPr>
        <w:t>No governance disruption; management team and board composition unchanged.</w:t>
      </w:r>
    </w:p>
    <w:p>
      <w:pPr>
        <w:pStyle w:val="ListBullet"/>
        <w:ind w:left="360" w:hanging="360"/>
      </w:pPr>
      <w:r>
        <w:rPr>
          <w:rFonts w:ascii="Calibri" w:hAnsi="Calibri"/>
          <w:b/>
          <w:color w:val="525866"/>
          <w:sz w:val="22"/>
        </w:rPr>
        <w:t xml:space="preserve">July 29, 2026 — California Speculative Ticket Sales Legislation: </w:t>
      </w:r>
      <w:r>
        <w:rPr>
          <w:rFonts w:ascii="Calibri" w:hAnsi="Calibri"/>
          <w:color w:val="525866"/>
          <w:sz w:val="22"/>
        </w:rPr>
        <w:t xml:space="preserve">Secondary ticket marketplaces including StubHub argue that proposed California legislation to ban speculative ticket sales would benefit Live Nation and Ticketmaster rather than consumers. </w:t>
      </w:r>
      <w:r>
        <w:rPr>
          <w:rFonts w:ascii="Calibri" w:hAnsi="Calibri"/>
          <w:i/>
          <w:color w:val="525866"/>
          <w:sz w:val="22"/>
        </w:rPr>
        <w:t xml:space="preserve">Implication: </w:t>
      </w:r>
      <w:r>
        <w:rPr>
          <w:rFonts w:ascii="Calibri" w:hAnsi="Calibri"/>
          <w:i/>
          <w:color w:val="525866"/>
          <w:sz w:val="22"/>
        </w:rPr>
        <w:t>If passed, could reduce secondary market competition and strengthen Ticketmaster's primary ticketing position; management has been actively lobbying for anti-speculative-ticket legislation as part of its secondary market cleanup strategy.</w:t>
      </w:r>
    </w:p>
    <w:p>
      <w:pPr>
        <w:pStyle w:val="ListBullet"/>
        <w:ind w:left="360" w:hanging="360"/>
      </w:pPr>
      <w:r>
        <w:rPr>
          <w:rFonts w:ascii="Calibri" w:hAnsi="Calibri"/>
          <w:b/>
          <w:color w:val="525866"/>
          <w:sz w:val="22"/>
        </w:rPr>
        <w:t xml:space="preserve">April 2026 — Ticketmaster / World Partnership: </w:t>
      </w:r>
      <w:r>
        <w:rPr>
          <w:rFonts w:ascii="Calibri" w:hAnsi="Calibri"/>
          <w:color w:val="525866"/>
          <w:sz w:val="22"/>
        </w:rPr>
        <w:t xml:space="preserve">World (digital identity platform) announced a partnership with Ticketmaster in April 2026, alongside a Tinder partnership. </w:t>
      </w:r>
      <w:r>
        <w:rPr>
          <w:rFonts w:ascii="Calibri" w:hAnsi="Calibri"/>
          <w:i/>
          <w:color w:val="525866"/>
          <w:sz w:val="22"/>
        </w:rPr>
        <w:t xml:space="preserve">Implication: </w:t>
      </w:r>
      <w:r>
        <w:rPr>
          <w:rFonts w:ascii="Calibri" w:hAnsi="Calibri"/>
          <w:i/>
          <w:color w:val="525866"/>
          <w:sz w:val="22"/>
        </w:rPr>
        <w:t>Supports Ticketmaster's identity verification and bot detection strategy; consistent with management's AI-accelerated deployment of real-time camera-based identity verification at high-demand on-sales.</w:t>
      </w:r>
    </w:p>
    <w:p>
      <w:pPr>
        <w:pStyle w:val="ListBullet"/>
        <w:ind w:left="360" w:hanging="360"/>
      </w:pPr>
      <w:r>
        <w:rPr>
          <w:rFonts w:ascii="Calibri" w:hAnsi="Calibri"/>
          <w:b/>
          <w:color w:val="525866"/>
          <w:sz w:val="22"/>
        </w:rPr>
        <w:t xml:space="preserve">Analyst Consensus: </w:t>
      </w:r>
      <w:r>
        <w:rPr>
          <w:rFonts w:ascii="Calibri" w:hAnsi="Calibri"/>
          <w:color w:val="525866"/>
          <w:sz w:val="22"/>
        </w:rPr>
        <w:t xml:space="preserve">20 of 24 analysts covering LYV rate it "Strong Buy," 1 "Moderate Buy," 3 "Hold." Average price target ~$190.65, implying ~5.4% upside from current levels (~$184). No upgrades or downgrades identified in the post-Q1 earnings period. </w:t>
      </w:r>
      <w:r>
        <w:rPr>
          <w:rFonts w:ascii="Calibri" w:hAnsi="Calibri"/>
          <w:i/>
          <w:color w:val="525866"/>
          <w:sz w:val="22"/>
        </w:rPr>
        <w:t xml:space="preserve">Implication: </w:t>
      </w:r>
      <w:r>
        <w:rPr>
          <w:rFonts w:ascii="Calibri" w:hAnsi="Calibri"/>
          <w:i/>
          <w:color w:val="525866"/>
          <w:sz w:val="22"/>
        </w:rPr>
        <w:t>Consensus is bullish but the stock has largely caught up to price targets, limiting near-term upside from analyst re-rating.</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transactions since Q1 earnings are </w:t>
      </w:r>
      <w:r>
        <w:rPr>
          <w:rFonts w:ascii="Calibri" w:hAnsi="Calibri"/>
          <w:b/>
          <w:color w:val="525866"/>
          <w:sz w:val="22"/>
        </w:rPr>
        <w:t>tax withholding (Form 4 code F) or option exercises followed by same-day sales (codes M/S)</w:t>
      </w:r>
      <w:r>
        <w:rPr>
          <w:rFonts w:ascii="Calibri" w:hAnsi="Calibri"/>
          <w:color w:val="525866"/>
          <w:sz w:val="22"/>
        </w:rPr>
        <w:t xml:space="preserve"> — none are discretionary open-market sales or buys. The June 11 director stock awards (code A) are routine annual equity compensation grants. </w:t>
      </w:r>
      <w:r>
        <w:rPr>
          <w:rFonts w:ascii="Calibri" w:hAnsi="Calibri"/>
          <w:b/>
          <w:color w:val="525866"/>
          <w:sz w:val="22"/>
        </w:rPr>
        <w:t>There is no meaningful insider signal here</w:t>
      </w:r>
      <w:r>
        <w:rPr>
          <w:rFonts w:ascii="Calibri" w:hAnsi="Calibri"/>
          <w:color w:val="525866"/>
          <w:sz w:val="22"/>
        </w:rPr>
        <w:t xml:space="preserve"> — no open-market buys or discretionary sells from senior management.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Hopmans John</w:t>
            </w:r>
          </w:p>
        </w:tc>
        <w:tc>
          <w:tcPr>
            <w:tcW w:type="dxa" w:w="1440"/>
          </w:tcPr>
          <w:p>
            <w:r>
              <w:rPr>
                <w:rFonts w:ascii="Calibri" w:hAnsi="Calibri"/>
                <w:sz w:val="22"/>
              </w:rPr>
              <w:t>EVP, M&amp;A and Strategic Finance</w:t>
            </w:r>
          </w:p>
        </w:tc>
        <w:tc>
          <w:tcPr>
            <w:tcW w:type="dxa" w:w="1440"/>
          </w:tcPr>
          <w:p>
            <w:r>
              <w:rPr>
                <w:rFonts w:ascii="Calibri" w:hAnsi="Calibri"/>
                <w:sz w:val="22"/>
              </w:rPr>
              <w:t>Tax Withholding (F)</w:t>
            </w:r>
          </w:p>
        </w:tc>
        <w:tc>
          <w:tcPr>
            <w:tcW w:type="dxa" w:w="1440"/>
          </w:tcPr>
          <w:p>
            <w:r>
              <w:rPr>
                <w:rFonts w:ascii="Calibri" w:hAnsi="Calibri"/>
                <w:sz w:val="22"/>
              </w:rPr>
              <w:t>6,083 shares</w:t>
            </w:r>
          </w:p>
        </w:tc>
        <w:tc>
          <w:tcPr>
            <w:tcW w:type="dxa" w:w="1440"/>
          </w:tcPr>
          <w:p>
            <w:r>
              <w:rPr>
                <w:rFonts w:ascii="Calibri" w:hAnsi="Calibri"/>
                <w:sz w:val="22"/>
              </w:rPr>
              <w:t>Jul 11, 2026</w:t>
            </w:r>
          </w:p>
        </w:tc>
        <w:tc>
          <w:tcPr>
            <w:tcW w:type="dxa" w:w="1440"/>
          </w:tcPr>
          <w:p>
            <w:r>
              <w:rPr>
                <w:rFonts w:ascii="Calibri" w:hAnsi="Calibri"/>
                <w:sz w:val="22"/>
              </w:rPr>
              <w:t>Shares withheld for tax on vesting; not a discretionary sale</w:t>
            </w:r>
          </w:p>
        </w:tc>
      </w:tr>
      <w:tr>
        <w:tc>
          <w:tcPr>
            <w:tcW w:type="dxa" w:w="1440"/>
          </w:tcPr>
          <w:p>
            <w:r>
              <w:rPr>
                <w:rFonts w:ascii="Calibri" w:hAnsi="Calibri"/>
                <w:sz w:val="22"/>
              </w:rPr>
              <w:t>HINSON JEFFREY T.</w:t>
            </w:r>
          </w:p>
        </w:tc>
        <w:tc>
          <w:tcPr>
            <w:tcW w:type="dxa" w:w="1440"/>
          </w:tcPr>
          <w:p>
            <w:r>
              <w:rPr>
                <w:rFonts w:ascii="Calibri" w:hAnsi="Calibri"/>
                <w:sz w:val="22"/>
              </w:rPr>
              <w:t>Director</w:t>
            </w:r>
          </w:p>
        </w:tc>
        <w:tc>
          <w:tcPr>
            <w:tcW w:type="dxa" w:w="1440"/>
          </w:tcPr>
          <w:p>
            <w:r>
              <w:rPr>
                <w:rFonts w:ascii="Calibri" w:hAnsi="Calibri"/>
                <w:sz w:val="22"/>
              </w:rPr>
              <w:t>Open Market Sale (S)</w:t>
            </w:r>
          </w:p>
        </w:tc>
        <w:tc>
          <w:tcPr>
            <w:tcW w:type="dxa" w:w="1440"/>
          </w:tcPr>
          <w:p>
            <w:r>
              <w:rPr>
                <w:rFonts w:ascii="Calibri" w:hAnsi="Calibri"/>
                <w:sz w:val="22"/>
              </w:rPr>
              <w:t>2,115 shares</w:t>
            </w:r>
          </w:p>
        </w:tc>
        <w:tc>
          <w:tcPr>
            <w:tcW w:type="dxa" w:w="1440"/>
          </w:tcPr>
          <w:p>
            <w:r>
              <w:rPr>
                <w:rFonts w:ascii="Calibri" w:hAnsi="Calibri"/>
                <w:sz w:val="22"/>
              </w:rPr>
              <w:t>Jun 15, 2026</w:t>
            </w:r>
          </w:p>
        </w:tc>
        <w:tc>
          <w:tcPr>
            <w:tcW w:type="dxa" w:w="1440"/>
          </w:tcPr>
          <w:p>
            <w:r>
              <w:rPr>
                <w:rFonts w:ascii="Calibri" w:hAnsi="Calibri"/>
                <w:sz w:val="22"/>
              </w:rPr>
              <w:t>Small discretionary sale by director; not flagged as 10b5-1; modest size relative to 47,122 shares held</w:t>
            </w:r>
          </w:p>
        </w:tc>
      </w:tr>
      <w:tr>
        <w:tc>
          <w:tcPr>
            <w:tcW w:type="dxa" w:w="1440"/>
          </w:tcPr>
          <w:p>
            <w:r>
              <w:rPr>
                <w:rFonts w:ascii="Calibri" w:hAnsi="Calibri"/>
                <w:sz w:val="22"/>
              </w:rPr>
              <w:t>Multiple Directors (9)</w:t>
            </w:r>
          </w:p>
        </w:tc>
        <w:tc>
          <w:tcPr>
            <w:tcW w:type="dxa" w:w="1440"/>
          </w:tcPr>
          <w:p>
            <w:r>
              <w:rPr>
                <w:rFonts w:ascii="Calibri" w:hAnsi="Calibri"/>
                <w:sz w:val="22"/>
              </w:rPr>
              <w:t>Board of Directors</w:t>
            </w:r>
          </w:p>
        </w:tc>
        <w:tc>
          <w:tcPr>
            <w:tcW w:type="dxa" w:w="1440"/>
          </w:tcPr>
          <w:p>
            <w:r>
              <w:rPr>
                <w:rFonts w:ascii="Calibri" w:hAnsi="Calibri"/>
                <w:sz w:val="22"/>
              </w:rPr>
              <w:t>Stock Award (A)</w:t>
            </w:r>
          </w:p>
        </w:tc>
        <w:tc>
          <w:tcPr>
            <w:tcW w:type="dxa" w:w="1440"/>
          </w:tcPr>
          <w:p>
            <w:r>
              <w:rPr>
                <w:rFonts w:ascii="Calibri" w:hAnsi="Calibri"/>
                <w:sz w:val="22"/>
              </w:rPr>
              <w:t>1,207–2,293 shares each</w:t>
            </w:r>
          </w:p>
        </w:tc>
        <w:tc>
          <w:tcPr>
            <w:tcW w:type="dxa" w:w="1440"/>
          </w:tcPr>
          <w:p>
            <w:r>
              <w:rPr>
                <w:rFonts w:ascii="Calibri" w:hAnsi="Calibri"/>
                <w:sz w:val="22"/>
              </w:rPr>
              <w:t>Jun 11, 2026</w:t>
            </w:r>
          </w:p>
        </w:tc>
        <w:tc>
          <w:tcPr>
            <w:tcW w:type="dxa" w:w="1440"/>
          </w:tcPr>
          <w:p>
            <w:r>
              <w:rPr>
                <w:rFonts w:ascii="Calibri" w:hAnsi="Calibri"/>
                <w:sz w:val="22"/>
              </w:rPr>
              <w:t>Routine annual equity compensation grants to board members (Carter, Fu, Grenell, Hinson, Hollingsworth, Iovine, Kahan, Mays, Paul, Vogel, Watkins); not open-market purchases</w:t>
            </w:r>
          </w:p>
        </w:tc>
      </w:tr>
      <w:tr>
        <w:tc>
          <w:tcPr>
            <w:tcW w:type="dxa" w:w="1440"/>
          </w:tcPr>
          <w:p>
            <w:r>
              <w:rPr>
                <w:rFonts w:ascii="Calibri" w:hAnsi="Calibri"/>
                <w:sz w:val="22"/>
              </w:rPr>
              <w:t>Berchtold Joe</w:t>
            </w:r>
          </w:p>
        </w:tc>
        <w:tc>
          <w:tcPr>
            <w:tcW w:type="dxa" w:w="1440"/>
          </w:tcPr>
          <w:p>
            <w:r>
              <w:rPr>
                <w:rFonts w:ascii="Calibri" w:hAnsi="Calibri"/>
                <w:sz w:val="22"/>
              </w:rPr>
              <w:t>President &amp; CFO</w:t>
            </w:r>
          </w:p>
        </w:tc>
        <w:tc>
          <w:tcPr>
            <w:tcW w:type="dxa" w:w="1440"/>
          </w:tcPr>
          <w:p>
            <w:r>
              <w:rPr>
                <w:rFonts w:ascii="Calibri" w:hAnsi="Calibri"/>
                <w:sz w:val="22"/>
              </w:rPr>
              <w:t>Tax Withholding (F)</w:t>
            </w:r>
          </w:p>
        </w:tc>
        <w:tc>
          <w:tcPr>
            <w:tcW w:type="dxa" w:w="1440"/>
          </w:tcPr>
          <w:p>
            <w:r>
              <w:rPr>
                <w:rFonts w:ascii="Calibri" w:hAnsi="Calibri"/>
                <w:sz w:val="22"/>
              </w:rPr>
              <w:t>16,603 shares</w:t>
            </w:r>
          </w:p>
        </w:tc>
        <w:tc>
          <w:tcPr>
            <w:tcW w:type="dxa" w:w="1440"/>
          </w:tcPr>
          <w:p>
            <w:r>
              <w:rPr>
                <w:rFonts w:ascii="Calibri" w:hAnsi="Calibri"/>
                <w:sz w:val="22"/>
              </w:rPr>
              <w:t>May 22, 2026</w:t>
            </w:r>
          </w:p>
        </w:tc>
        <w:tc>
          <w:tcPr>
            <w:tcW w:type="dxa" w:w="1440"/>
          </w:tcPr>
          <w:p>
            <w:r>
              <w:rPr>
                <w:rFonts w:ascii="Calibri" w:hAnsi="Calibri"/>
                <w:sz w:val="22"/>
              </w:rPr>
              <w:t>Shares withheld for tax on vesting; not a discretionary sale; 912,451 shares held post-transaction</w:t>
            </w:r>
          </w:p>
        </w:tc>
      </w:tr>
      <w:tr>
        <w:tc>
          <w:tcPr>
            <w:tcW w:type="dxa" w:w="1440"/>
          </w:tcPr>
          <w:p>
            <w:r>
              <w:rPr>
                <w:rFonts w:ascii="Calibri" w:hAnsi="Calibri"/>
                <w:sz w:val="22"/>
              </w:rPr>
              <w:t>Rowles Michael</w:t>
            </w:r>
          </w:p>
        </w:tc>
        <w:tc>
          <w:tcPr>
            <w:tcW w:type="dxa" w:w="1440"/>
          </w:tcPr>
          <w:p>
            <w:r>
              <w:rPr>
                <w:rFonts w:ascii="Calibri" w:hAnsi="Calibri"/>
                <w:sz w:val="22"/>
              </w:rPr>
              <w:t>EVP &amp; General Counsel</w:t>
            </w:r>
          </w:p>
        </w:tc>
        <w:tc>
          <w:tcPr>
            <w:tcW w:type="dxa" w:w="1440"/>
          </w:tcPr>
          <w:p>
            <w:r>
              <w:rPr>
                <w:rFonts w:ascii="Calibri" w:hAnsi="Calibri"/>
                <w:sz w:val="22"/>
              </w:rPr>
              <w:t>Tax Withholding (F)</w:t>
            </w:r>
          </w:p>
        </w:tc>
        <w:tc>
          <w:tcPr>
            <w:tcW w:type="dxa" w:w="1440"/>
          </w:tcPr>
          <w:p>
            <w:r>
              <w:rPr>
                <w:rFonts w:ascii="Calibri" w:hAnsi="Calibri"/>
                <w:sz w:val="22"/>
              </w:rPr>
              <w:t>1,661 shares</w:t>
            </w:r>
          </w:p>
        </w:tc>
        <w:tc>
          <w:tcPr>
            <w:tcW w:type="dxa" w:w="1440"/>
          </w:tcPr>
          <w:p>
            <w:r>
              <w:rPr>
                <w:rFonts w:ascii="Calibri" w:hAnsi="Calibri"/>
                <w:sz w:val="22"/>
              </w:rPr>
              <w:t>May 22, 2026</w:t>
            </w:r>
          </w:p>
        </w:tc>
        <w:tc>
          <w:tcPr>
            <w:tcW w:type="dxa" w:w="1440"/>
          </w:tcPr>
          <w:p>
            <w:r>
              <w:rPr>
                <w:rFonts w:ascii="Calibri" w:hAnsi="Calibri"/>
                <w:sz w:val="22"/>
              </w:rPr>
              <w:t>Shares withheld for tax on vesting; not a discretionary sale</w:t>
            </w:r>
          </w:p>
        </w:tc>
      </w:tr>
      <w:tr>
        <w:tc>
          <w:tcPr>
            <w:tcW w:type="dxa" w:w="1440"/>
          </w:tcPr>
          <w:p>
            <w:r>
              <w:rPr>
                <w:rFonts w:ascii="Calibri" w:hAnsi="Calibri"/>
                <w:sz w:val="22"/>
              </w:rPr>
              <w:t>Berchtold Joe</w:t>
            </w:r>
          </w:p>
        </w:tc>
        <w:tc>
          <w:tcPr>
            <w:tcW w:type="dxa" w:w="1440"/>
          </w:tcPr>
          <w:p>
            <w:r>
              <w:rPr>
                <w:rFonts w:ascii="Calibri" w:hAnsi="Calibri"/>
                <w:sz w:val="22"/>
              </w:rPr>
              <w:t>President &amp; CFO</w:t>
            </w:r>
          </w:p>
        </w:tc>
        <w:tc>
          <w:tcPr>
            <w:tcW w:type="dxa" w:w="1440"/>
          </w:tcPr>
          <w:p>
            <w:r>
              <w:rPr>
                <w:rFonts w:ascii="Calibri" w:hAnsi="Calibri"/>
                <w:sz w:val="22"/>
              </w:rPr>
              <w:t>Tax Withholding (F)</w:t>
            </w:r>
          </w:p>
        </w:tc>
        <w:tc>
          <w:tcPr>
            <w:tcW w:type="dxa" w:w="1440"/>
          </w:tcPr>
          <w:p>
            <w:r>
              <w:rPr>
                <w:rFonts w:ascii="Calibri" w:hAnsi="Calibri"/>
                <w:sz w:val="22"/>
              </w:rPr>
              <w:t>11,643 shares</w:t>
            </w:r>
          </w:p>
        </w:tc>
        <w:tc>
          <w:tcPr>
            <w:tcW w:type="dxa" w:w="1440"/>
          </w:tcPr>
          <w:p>
            <w:r>
              <w:rPr>
                <w:rFonts w:ascii="Calibri" w:hAnsi="Calibri"/>
                <w:sz w:val="22"/>
              </w:rPr>
              <w:t>May 13, 2026</w:t>
            </w:r>
          </w:p>
        </w:tc>
        <w:tc>
          <w:tcPr>
            <w:tcW w:type="dxa" w:w="1440"/>
          </w:tcPr>
          <w:p>
            <w:r>
              <w:rPr>
                <w:rFonts w:ascii="Calibri" w:hAnsi="Calibri"/>
                <w:sz w:val="22"/>
              </w:rPr>
              <w:t>Shares withheld for tax on vesting; not a discretionary sale</w:t>
            </w:r>
          </w:p>
        </w:tc>
      </w:tr>
      <w:tr>
        <w:tc>
          <w:tcPr>
            <w:tcW w:type="dxa" w:w="1440"/>
          </w:tcPr>
          <w:p>
            <w:r>
              <w:rPr>
                <w:rFonts w:ascii="Calibri" w:hAnsi="Calibri"/>
                <w:sz w:val="22"/>
              </w:rPr>
              <w:t>Rapino Michael</w:t>
            </w:r>
          </w:p>
        </w:tc>
        <w:tc>
          <w:tcPr>
            <w:tcW w:type="dxa" w:w="1440"/>
          </w:tcPr>
          <w:p>
            <w:r>
              <w:rPr>
                <w:rFonts w:ascii="Calibri" w:hAnsi="Calibri"/>
                <w:sz w:val="22"/>
              </w:rPr>
              <w:t>President &amp; CEO, Director</w:t>
            </w:r>
          </w:p>
        </w:tc>
        <w:tc>
          <w:tcPr>
            <w:tcW w:type="dxa" w:w="1440"/>
          </w:tcPr>
          <w:p>
            <w:r>
              <w:rPr>
                <w:rFonts w:ascii="Calibri" w:hAnsi="Calibri"/>
                <w:sz w:val="22"/>
              </w:rPr>
              <w:t>Tax Withholding (F)</w:t>
            </w:r>
          </w:p>
        </w:tc>
        <w:tc>
          <w:tcPr>
            <w:tcW w:type="dxa" w:w="1440"/>
          </w:tcPr>
          <w:p>
            <w:r>
              <w:rPr>
                <w:rFonts w:ascii="Calibri" w:hAnsi="Calibri"/>
                <w:sz w:val="22"/>
              </w:rPr>
              <w:t>17,464 shares</w:t>
            </w:r>
          </w:p>
        </w:tc>
        <w:tc>
          <w:tcPr>
            <w:tcW w:type="dxa" w:w="1440"/>
          </w:tcPr>
          <w:p>
            <w:r>
              <w:rPr>
                <w:rFonts w:ascii="Calibri" w:hAnsi="Calibri"/>
                <w:sz w:val="22"/>
              </w:rPr>
              <w:t>May 13, 2026</w:t>
            </w:r>
          </w:p>
        </w:tc>
        <w:tc>
          <w:tcPr>
            <w:tcW w:type="dxa" w:w="1440"/>
          </w:tcPr>
          <w:p>
            <w:r>
              <w:rPr>
                <w:rFonts w:ascii="Calibri" w:hAnsi="Calibri"/>
                <w:sz w:val="22"/>
              </w:rPr>
              <w:t>Shares withheld for tax on vesting; not a discretionary sale; 4.2M shares held post-transaction</w:t>
            </w:r>
          </w:p>
        </w:tc>
      </w:tr>
      <w:tr>
        <w:tc>
          <w:tcPr>
            <w:tcW w:type="dxa" w:w="1440"/>
          </w:tcPr>
          <w:p>
            <w:r>
              <w:rPr>
                <w:rFonts w:ascii="Calibri" w:hAnsi="Calibri"/>
                <w:sz w:val="22"/>
              </w:rPr>
              <w:t>Hopmans John</w:t>
            </w:r>
          </w:p>
        </w:tc>
        <w:tc>
          <w:tcPr>
            <w:tcW w:type="dxa" w:w="1440"/>
          </w:tcPr>
          <w:p>
            <w:r>
              <w:rPr>
                <w:rFonts w:ascii="Calibri" w:hAnsi="Calibri"/>
                <w:sz w:val="22"/>
              </w:rPr>
              <w:t>EVP, M&amp;A and Strategic Finance</w:t>
            </w:r>
          </w:p>
        </w:tc>
        <w:tc>
          <w:tcPr>
            <w:tcW w:type="dxa" w:w="1440"/>
          </w:tcPr>
          <w:p>
            <w:r>
              <w:rPr>
                <w:rFonts w:ascii="Calibri" w:hAnsi="Calibri"/>
                <w:sz w:val="22"/>
              </w:rPr>
              <w:t>Option Exercise + Same-Day Sale (M/S)</w:t>
            </w:r>
          </w:p>
        </w:tc>
        <w:tc>
          <w:tcPr>
            <w:tcW w:type="dxa" w:w="1440"/>
          </w:tcPr>
          <w:p>
            <w:r>
              <w:rPr>
                <w:rFonts w:ascii="Calibri" w:hAnsi="Calibri"/>
                <w:sz w:val="22"/>
              </w:rPr>
              <w:t>83,480 exercised / 93,078 sold</w:t>
            </w:r>
          </w:p>
        </w:tc>
        <w:tc>
          <w:tcPr>
            <w:tcW w:type="dxa" w:w="1440"/>
          </w:tcPr>
          <w:p>
            <w:r>
              <w:rPr>
                <w:rFonts w:ascii="Calibri" w:hAnsi="Calibri"/>
                <w:sz w:val="22"/>
              </w:rPr>
              <w:t>May 7, 2026</w:t>
            </w:r>
          </w:p>
        </w:tc>
        <w:tc>
          <w:tcPr>
            <w:tcW w:type="dxa" w:w="1440"/>
          </w:tcPr>
          <w:p>
            <w:r>
              <w:rPr>
                <w:rFonts w:ascii="Calibri" w:hAnsi="Calibri"/>
                <w:sz w:val="22"/>
              </w:rPr>
              <w:t>Option exercise followed by same-day sale to cover cost and taxes; routine cashless exercise; not a discretionary bearish signal</w:t>
            </w:r>
          </w:p>
        </w:tc>
      </w:tr>
      <w:tr>
        <w:tc>
          <w:tcPr>
            <w:tcW w:type="dxa" w:w="1440"/>
          </w:tcPr>
          <w:p>
            <w:r>
              <w:rPr>
                <w:rFonts w:ascii="Calibri" w:hAnsi="Calibri"/>
                <w:sz w:val="22"/>
              </w:rPr>
              <w:t>Rowles Michael</w:t>
            </w:r>
          </w:p>
        </w:tc>
        <w:tc>
          <w:tcPr>
            <w:tcW w:type="dxa" w:w="1440"/>
          </w:tcPr>
          <w:p>
            <w:r>
              <w:rPr>
                <w:rFonts w:ascii="Calibri" w:hAnsi="Calibri"/>
                <w:sz w:val="22"/>
              </w:rPr>
              <w:t>EVP &amp; General Counsel</w:t>
            </w:r>
          </w:p>
        </w:tc>
        <w:tc>
          <w:tcPr>
            <w:tcW w:type="dxa" w:w="1440"/>
          </w:tcPr>
          <w:p>
            <w:r>
              <w:rPr>
                <w:rFonts w:ascii="Calibri" w:hAnsi="Calibri"/>
                <w:sz w:val="22"/>
              </w:rPr>
              <w:t>Option Exercise + Same-Day Sale (M/S)</w:t>
            </w:r>
          </w:p>
        </w:tc>
        <w:tc>
          <w:tcPr>
            <w:tcW w:type="dxa" w:w="1440"/>
          </w:tcPr>
          <w:p>
            <w:r>
              <w:rPr>
                <w:rFonts w:ascii="Calibri" w:hAnsi="Calibri"/>
                <w:sz w:val="22"/>
              </w:rPr>
              <w:t>63,776 exercised / 63,776 sold</w:t>
            </w:r>
          </w:p>
        </w:tc>
        <w:tc>
          <w:tcPr>
            <w:tcW w:type="dxa" w:w="1440"/>
          </w:tcPr>
          <w:p>
            <w:r>
              <w:rPr>
                <w:rFonts w:ascii="Calibri" w:hAnsi="Calibri"/>
                <w:sz w:val="22"/>
              </w:rPr>
              <w:t>May 8, 2026</w:t>
            </w:r>
          </w:p>
        </w:tc>
        <w:tc>
          <w:tcPr>
            <w:tcW w:type="dxa" w:w="1440"/>
          </w:tcPr>
          <w:p>
            <w:r>
              <w:rPr>
                <w:rFonts w:ascii="Calibri" w:hAnsi="Calibri"/>
                <w:sz w:val="22"/>
              </w:rPr>
              <w:t>Option exercise followed by same-day sale; routine cashless exercise; not a discretionary bearish signal</w:t>
            </w:r>
          </w:p>
        </w:tc>
      </w:tr>
    </w:tbl>
    <w:p>
      <w:r>
        <w:rPr>
          <w:rFonts w:ascii="Calibri" w:hAnsi="Calibri"/>
          <w:i/>
          <w:color w:val="525866"/>
          <w:sz w:val="22"/>
        </w:rPr>
        <w:t xml:space="preserve">Source: Insider Transaction Data (SEC Form 4 filings). </w:t>
      </w:r>
      <w:r>
        <w:rPr>
          <w:rFonts w:ascii="Calibri" w:hAnsi="Calibri"/>
          <w:color w:val="525866"/>
          <w:sz w:val="22"/>
        </w:rPr>
        <w:t>All transactions since Q1 2026 earnings (May 5, 2026) are obligation-driven (tax withholding on vesting, option exercises, or routine board equity grants). The one open-market sale — Director Hinson selling 2,115 shares on June 15 — is small relative to his 47,122-share position and is not flagged as part of a 10b5-1 plan. No open-market buys were recorded. The absence of discretionary selling by CEO Rapino (4.2M shares held) and CFO Berchtold (912K shares held) is notable given the stock's +17% run since Q1 earnings — neither has sold discretionarily, which is a mild positive signal.</w:t>
      </w:r>
    </w:p>
    <w:p>
      <w:r>
        <w:rPr>
          <w:rFonts w:ascii="Calibri" w:hAnsi="Calibri"/>
          <w:i/>
          <w:color w:val="525866"/>
          <w:sz w:val="22"/>
        </w:rPr>
        <w:t>— End of Document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