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Live Nation Entertainment (LYV)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Live Nation Entertainment, Inc.</w:t>
            </w:r>
          </w:p>
        </w:tc>
      </w:tr>
      <w:tr>
        <w:tc>
          <w:tcPr>
            <w:tcW w:type="dxa" w:w="4320"/>
          </w:tcPr>
          <w:p>
            <w:r>
              <w:rPr>
                <w:rFonts w:ascii="Calibri" w:hAnsi="Calibri"/>
                <w:b/>
                <w:sz w:val="22"/>
              </w:rPr>
              <w:t>Ticker</w:t>
            </w:r>
          </w:p>
        </w:tc>
        <w:tc>
          <w:tcPr>
            <w:tcW w:type="dxa" w:w="4320"/>
          </w:tcPr>
          <w:p>
            <w:r>
              <w:rPr>
                <w:rFonts w:ascii="Calibri" w:hAnsi="Calibri"/>
                <w:sz w:val="22"/>
              </w:rPr>
              <w:t>LYV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(after market close)</w:t>
            </w:r>
          </w:p>
        </w:tc>
      </w:tr>
      <w:tr>
        <w:tc>
          <w:tcPr>
            <w:tcW w:type="dxa" w:w="4320"/>
          </w:tcPr>
          <w:p>
            <w:r>
              <w:rPr>
                <w:rFonts w:ascii="Calibri" w:hAnsi="Calibri"/>
                <w:b/>
                <w:sz w:val="22"/>
              </w:rPr>
              <w:t>Last Earnings Date</w:t>
            </w:r>
          </w:p>
        </w:tc>
        <w:tc>
          <w:tcPr>
            <w:tcW w:type="dxa" w:w="4320"/>
          </w:tcPr>
          <w:p>
            <w:r>
              <w:rPr>
                <w:rFonts w:ascii="Calibri" w:hAnsi="Calibri"/>
                <w:sz w:val="22"/>
              </w:rPr>
              <w:t>May 5, 2026 (Q1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~20.1x)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with the real story being the strength of the full-year pipeline — but the single biggest swing factor is whether amphitheater on-site per-cap spending holds up through the peak summer season.</w:t>
      </w:r>
    </w:p>
    <w:p>
      <w:r>
        <w:rPr>
          <w:rFonts w:ascii="Calibri" w:hAnsi="Calibri"/>
          <w:color w:val="525866"/>
          <w:sz w:val="22"/>
        </w:rPr>
        <w:t xml:space="preserve">Heading into Q2 2026, Live Nation's bar looks achievable: consensus calls for revenue of ~$7.56B (+8% YoY) and EBITDA of ~$652M (+1% YoY vs. a tough Q2 2025 comp), with diluted EPS of ~$0.62 — a meaningful step-up from the prior-year $0.41. </w:t>
      </w:r>
      <w:r>
        <w:rPr>
          <w:rFonts w:ascii="Calibri" w:hAnsi="Calibri"/>
          <w:b/>
          <w:color w:val="525866"/>
          <w:sz w:val="22"/>
        </w:rPr>
        <w:t>Management's tone has been unambiguously confident</w:t>
      </w:r>
      <w:r>
        <w:rPr>
          <w:rFonts w:ascii="Calibri" w:hAnsi="Calibri"/>
          <w:color w:val="525866"/>
          <w:sz w:val="22"/>
        </w:rPr>
        <w:t xml:space="preserve"> since the Q1 print, with CFO Berchtold citing 119 million tickets sold through late May (up double-digits YoY), record event-related deferred revenue of $6.6B (+22%), and sell-through rates across stadiums, arenas, and amphitheaters all tracking in line with or ahead of last year. Estimate revisions have been remarkably stable post-Q1 — revenue and EBITDA consensus for Q2 have barely moved since the May 8 baseline, suggesting the street is comfortable with the guide rather than chasing upside. </w:t>
      </w:r>
      <w:r>
        <w:rPr>
          <w:rFonts w:ascii="Calibri" w:hAnsi="Calibri"/>
          <w:b/>
          <w:color w:val="525866"/>
          <w:sz w:val="22"/>
        </w:rPr>
        <w:t>The stock has re-rated sharply since the Q1 print (+17% vs. flat SPY)</w:t>
      </w:r>
      <w:r>
        <w:rPr>
          <w:rFonts w:ascii="Calibri" w:hAnsi="Calibri"/>
          <w:color w:val="525866"/>
          <w:sz w:val="22"/>
        </w:rPr>
        <w:t xml:space="preserve">, recovering most of the April antitrust-verdict selloff, which means the market has already priced in a solid operational quarter and the legal overhang is now a known risk rather than a surprise. The key wildcard is </w:t>
      </w:r>
      <w:r>
        <w:rPr>
          <w:rFonts w:ascii="Calibri" w:hAnsi="Calibri"/>
          <w:b/>
          <w:color w:val="525866"/>
          <w:sz w:val="22"/>
        </w:rPr>
        <w:t>amphitheater per-cap spending</w:t>
      </w:r>
      <w:r>
        <w:rPr>
          <w:rFonts w:ascii="Calibri" w:hAnsi="Calibri"/>
          <w:color w:val="525866"/>
          <w:sz w:val="22"/>
        </w:rPr>
        <w:t>: with ~70% of amphitheater fan growth concentrated in Q3, Q2 is primarily an arena/third-party venue quarter, but early amphitheater data (only ~5% of shows played off as of late May) showed on-site spending up with no trade-down — any deterioration in that trend through June would be the most likely negative surprise.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on revenue (+8% YoY) but a tighter bar on EBITDA (+1% YoY vs. a strong Q2 2025 comp); the bigger swing factor is total fans and fee-bearing ticket volume, which will signal whether the record deferred revenue is converting into actual attendance.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$3.79B</w:t>
            </w:r>
          </w:p>
        </w:tc>
        <w:tc>
          <w:tcPr>
            <w:tcW w:type="dxa" w:w="1234"/>
          </w:tcPr>
          <w:p>
            <w:r>
              <w:rPr>
                <w:rFonts w:ascii="Calibri" w:hAnsi="Calibri"/>
                <w:sz w:val="22"/>
              </w:rPr>
              <w:t>$7.01B</w:t>
            </w:r>
          </w:p>
        </w:tc>
        <w:tc>
          <w:tcPr>
            <w:tcW w:type="dxa" w:w="1234"/>
          </w:tcPr>
          <w:p>
            <w:r>
              <w:rPr>
                <w:rFonts w:ascii="Calibri" w:hAnsi="Calibri"/>
                <w:sz w:val="22"/>
              </w:rPr>
              <w:t>$7.56B</w:t>
            </w:r>
          </w:p>
        </w:tc>
        <w:tc>
          <w:tcPr>
            <w:tcW w:type="dxa" w:w="1234"/>
          </w:tcPr>
          <w:p>
            <w:r>
              <w:rPr>
                <w:rFonts w:ascii="Calibri" w:hAnsi="Calibri"/>
                <w:sz w:val="22"/>
              </w:rPr>
              <w:t>+7.9%</w:t>
            </w:r>
          </w:p>
        </w:tc>
        <w:tc>
          <w:tcPr>
            <w:tcW w:type="dxa" w:w="1234"/>
          </w:tcPr>
          <w:p>
            <w:r>
              <w:rPr>
                <w:rFonts w:ascii="Calibri" w:hAnsi="Calibri"/>
                <w:sz w:val="22"/>
              </w:rPr>
              <w:t>Double-digit AOI growth; high-single-digit fan growth</w:t>
            </w:r>
          </w:p>
        </w:tc>
        <w:tc>
          <w:tcPr>
            <w:tcW w:type="dxa" w:w="1234"/>
          </w:tcPr>
          <w:p>
            <w:r>
              <w:rPr>
                <w:rFonts w:ascii="Calibri" w:hAnsi="Calibri"/>
                <w:sz w:val="22"/>
              </w:rPr>
              <w:t>N/A (no explicit Q2 revenue guide)</w:t>
            </w:r>
          </w:p>
        </w:tc>
      </w:tr>
      <w:tr>
        <w:tc>
          <w:tcPr>
            <w:tcW w:type="dxa" w:w="1234"/>
          </w:tcPr>
          <w:p>
            <w:r>
              <w:rPr>
                <w:rFonts w:ascii="Calibri" w:hAnsi="Calibri"/>
                <w:sz w:val="22"/>
              </w:rPr>
              <w:t>EBITDA ($M)</w:t>
            </w:r>
          </w:p>
        </w:tc>
        <w:tc>
          <w:tcPr>
            <w:tcW w:type="dxa" w:w="1234"/>
          </w:tcPr>
          <w:p>
            <w:r>
              <w:rPr>
                <w:rFonts w:ascii="Calibri" w:hAnsi="Calibri"/>
                <w:sz w:val="22"/>
              </w:rPr>
              <w:t>-$201M (incl. $450M legal accrual)</w:t>
            </w:r>
          </w:p>
        </w:tc>
        <w:tc>
          <w:tcPr>
            <w:tcW w:type="dxa" w:w="1234"/>
          </w:tcPr>
          <w:p>
            <w:r>
              <w:rPr>
                <w:rFonts w:ascii="Calibri" w:hAnsi="Calibri"/>
                <w:sz w:val="22"/>
              </w:rPr>
              <w:t>$646M</w:t>
            </w:r>
          </w:p>
        </w:tc>
        <w:tc>
          <w:tcPr>
            <w:tcW w:type="dxa" w:w="1234"/>
          </w:tcPr>
          <w:p>
            <w:r>
              <w:rPr>
                <w:rFonts w:ascii="Calibri" w:hAnsi="Calibri"/>
                <w:sz w:val="22"/>
              </w:rPr>
              <w:t>$652M</w:t>
            </w:r>
          </w:p>
        </w:tc>
        <w:tc>
          <w:tcPr>
            <w:tcW w:type="dxa" w:w="1234"/>
          </w:tcPr>
          <w:p>
            <w:r>
              <w:rPr>
                <w:rFonts w:ascii="Calibri" w:hAnsi="Calibri"/>
                <w:sz w:val="22"/>
              </w:rPr>
              <w:t>+1.0%</w:t>
            </w:r>
          </w:p>
        </w:tc>
        <w:tc>
          <w:tcPr>
            <w:tcW w:type="dxa" w:w="1234"/>
          </w:tcPr>
          <w:p>
            <w:r>
              <w:rPr>
                <w:rFonts w:ascii="Calibri" w:hAnsi="Calibri"/>
                <w:sz w:val="22"/>
              </w:rPr>
              <w:t>Double-digit AOI growth FY2026</w:t>
            </w:r>
          </w:p>
        </w:tc>
        <w:tc>
          <w:tcPr>
            <w:tcW w:type="dxa" w:w="1234"/>
          </w:tcPr>
          <w:p>
            <w:r>
              <w:rPr>
                <w:rFonts w:ascii="Calibri" w:hAnsi="Calibri"/>
                <w:sz w:val="22"/>
              </w:rPr>
              <w:t>N/A (no explicit Q2 EBITDA guide)</w:t>
            </w:r>
          </w:p>
        </w:tc>
      </w:tr>
      <w:tr>
        <w:tc>
          <w:tcPr>
            <w:tcW w:type="dxa" w:w="1234"/>
          </w:tcPr>
          <w:p>
            <w:r>
              <w:rPr>
                <w:rFonts w:ascii="Calibri" w:hAnsi="Calibri"/>
                <w:sz w:val="22"/>
              </w:rPr>
              <w:t>Diluted EPS ($)</w:t>
            </w:r>
          </w:p>
        </w:tc>
        <w:tc>
          <w:tcPr>
            <w:tcW w:type="dxa" w:w="1234"/>
          </w:tcPr>
          <w:p>
            <w:r>
              <w:rPr>
                <w:rFonts w:ascii="Calibri" w:hAnsi="Calibri"/>
                <w:sz w:val="22"/>
              </w:rPr>
              <w:t>-$1.85 (incl. $1.93 legal charge)</w:t>
            </w:r>
          </w:p>
        </w:tc>
        <w:tc>
          <w:tcPr>
            <w:tcW w:type="dxa" w:w="1234"/>
          </w:tcPr>
          <w:p>
            <w:r>
              <w:rPr>
                <w:rFonts w:ascii="Calibri" w:hAnsi="Calibri"/>
                <w:sz w:val="22"/>
              </w:rPr>
              <w:t>$0.41</w:t>
            </w:r>
          </w:p>
        </w:tc>
        <w:tc>
          <w:tcPr>
            <w:tcW w:type="dxa" w:w="1234"/>
          </w:tcPr>
          <w:p>
            <w:r>
              <w:rPr>
                <w:rFonts w:ascii="Calibri" w:hAnsi="Calibri"/>
                <w:sz w:val="22"/>
              </w:rPr>
              <w:t>$0.62</w:t>
            </w:r>
          </w:p>
        </w:tc>
        <w:tc>
          <w:tcPr>
            <w:tcW w:type="dxa" w:w="1234"/>
          </w:tcPr>
          <w:p>
            <w:r>
              <w:rPr>
                <w:rFonts w:ascii="Calibri" w:hAnsi="Calibri"/>
                <w:sz w:val="22"/>
              </w:rPr>
              <w:t>+52%</w:t>
            </w:r>
          </w:p>
        </w:tc>
        <w:tc>
          <w:tcPr>
            <w:tcW w:type="dxa" w:w="1234"/>
          </w:tcPr>
          <w:p>
            <w:r>
              <w:rPr>
                <w:rFonts w:ascii="Calibri" w:hAnsi="Calibri"/>
                <w:sz w:val="22"/>
              </w:rPr>
              <w:t>No explicit EPS guide</w:t>
            </w:r>
          </w:p>
        </w:tc>
        <w:tc>
          <w:tcPr>
            <w:tcW w:type="dxa" w:w="1234"/>
          </w:tcPr>
          <w:p>
            <w:r>
              <w:rPr>
                <w:rFonts w:ascii="Calibri" w:hAnsi="Calibri"/>
                <w:sz w:val="22"/>
              </w:rPr>
              <w:t>N/A</w:t>
            </w:r>
          </w:p>
        </w:tc>
      </w:tr>
      <w:tr>
        <w:tc>
          <w:tcPr>
            <w:tcW w:type="dxa" w:w="1234"/>
          </w:tcPr>
          <w:p>
            <w:r>
              <w:rPr>
                <w:rFonts w:ascii="Calibri" w:hAnsi="Calibri"/>
                <w:sz w:val="22"/>
              </w:rPr>
              <w:t>Total Fans (K)</w:t>
            </w:r>
          </w:p>
        </w:tc>
        <w:tc>
          <w:tcPr>
            <w:tcW w:type="dxa" w:w="1234"/>
          </w:tcPr>
          <w:p>
            <w:r>
              <w:rPr>
                <w:rFonts w:ascii="Calibri" w:hAnsi="Calibri"/>
                <w:sz w:val="22"/>
              </w:rPr>
              <w:t>23,788K</w:t>
            </w:r>
          </w:p>
        </w:tc>
        <w:tc>
          <w:tcPr>
            <w:tcW w:type="dxa" w:w="1234"/>
          </w:tcPr>
          <w:p>
            <w:r>
              <w:rPr>
                <w:rFonts w:ascii="Calibri" w:hAnsi="Calibri"/>
                <w:sz w:val="22"/>
              </w:rPr>
              <w:t>44,215K</w:t>
            </w:r>
          </w:p>
        </w:tc>
        <w:tc>
          <w:tcPr>
            <w:tcW w:type="dxa" w:w="1234"/>
          </w:tcPr>
          <w:p>
            <w:r>
              <w:rPr>
                <w:rFonts w:ascii="Calibri" w:hAnsi="Calibri"/>
                <w:sz w:val="22"/>
              </w:rPr>
              <w:t>46,778K</w:t>
            </w:r>
          </w:p>
        </w:tc>
        <w:tc>
          <w:tcPr>
            <w:tcW w:type="dxa" w:w="1234"/>
          </w:tcPr>
          <w:p>
            <w:r>
              <w:rPr>
                <w:rFonts w:ascii="Calibri" w:hAnsi="Calibri"/>
                <w:sz w:val="22"/>
              </w:rPr>
              <w:t>+5.8%</w:t>
            </w:r>
          </w:p>
        </w:tc>
        <w:tc>
          <w:tcPr>
            <w:tcW w:type="dxa" w:w="1234"/>
          </w:tcPr>
          <w:p>
            <w:r>
              <w:rPr>
                <w:rFonts w:ascii="Calibri" w:hAnsi="Calibri"/>
                <w:sz w:val="22"/>
              </w:rPr>
              <w:t>High-single-digit FY growth; Q2 led by third-party arenas</w:t>
            </w:r>
          </w:p>
        </w:tc>
        <w:tc>
          <w:tcPr>
            <w:tcW w:type="dxa" w:w="1234"/>
          </w:tcPr>
          <w:p>
            <w:r>
              <w:rPr>
                <w:rFonts w:ascii="Calibri" w:hAnsi="Calibri"/>
                <w:sz w:val="22"/>
              </w:rPr>
              <w:t>In line with guide</w:t>
            </w:r>
          </w:p>
        </w:tc>
      </w:tr>
      <w:tr>
        <w:tc>
          <w:tcPr>
            <w:tcW w:type="dxa" w:w="1234"/>
          </w:tcPr>
          <w:p>
            <w:r>
              <w:rPr>
                <w:rFonts w:ascii="Calibri" w:hAnsi="Calibri"/>
                <w:sz w:val="22"/>
              </w:rPr>
              <w:t>Total Events (#)</w:t>
            </w:r>
          </w:p>
        </w:tc>
        <w:tc>
          <w:tcPr>
            <w:tcW w:type="dxa" w:w="1234"/>
          </w:tcPr>
          <w:p>
            <w:r>
              <w:rPr>
                <w:rFonts w:ascii="Calibri" w:hAnsi="Calibri"/>
                <w:sz w:val="22"/>
              </w:rPr>
              <w:t>11,396</w:t>
            </w:r>
          </w:p>
        </w:tc>
        <w:tc>
          <w:tcPr>
            <w:tcW w:type="dxa" w:w="1234"/>
          </w:tcPr>
          <w:p>
            <w:r>
              <w:rPr>
                <w:rFonts w:ascii="Calibri" w:hAnsi="Calibri"/>
                <w:sz w:val="22"/>
              </w:rPr>
              <w:t>14,292</w:t>
            </w:r>
          </w:p>
        </w:tc>
        <w:tc>
          <w:tcPr>
            <w:tcW w:type="dxa" w:w="1234"/>
          </w:tcPr>
          <w:p>
            <w:r>
              <w:rPr>
                <w:rFonts w:ascii="Calibri" w:hAnsi="Calibri"/>
                <w:sz w:val="22"/>
              </w:rPr>
              <w:t>14,893</w:t>
            </w:r>
          </w:p>
        </w:tc>
        <w:tc>
          <w:tcPr>
            <w:tcW w:type="dxa" w:w="1234"/>
          </w:tcPr>
          <w:p>
            <w:r>
              <w:rPr>
                <w:rFonts w:ascii="Calibri" w:hAnsi="Calibri"/>
                <w:sz w:val="22"/>
              </w:rPr>
              <w:t>+4.2%</w:t>
            </w:r>
          </w:p>
        </w:tc>
        <w:tc>
          <w:tcPr>
            <w:tcW w:type="dxa" w:w="1234"/>
          </w:tcPr>
          <w:p>
            <w:r>
              <w:rPr>
                <w:rFonts w:ascii="Calibri" w:hAnsi="Calibri"/>
                <w:sz w:val="22"/>
              </w:rPr>
              <w:t>Show counts up YoY across all venue types</w:t>
            </w:r>
          </w:p>
        </w:tc>
        <w:tc>
          <w:tcPr>
            <w:tcW w:type="dxa" w:w="1234"/>
          </w:tcPr>
          <w:p>
            <w:r>
              <w:rPr>
                <w:rFonts w:ascii="Calibri" w:hAnsi="Calibri"/>
                <w:sz w:val="22"/>
              </w:rPr>
              <w:t>In line with guide</w:t>
            </w:r>
          </w:p>
        </w:tc>
      </w:tr>
      <w:tr>
        <w:tc>
          <w:tcPr>
            <w:tcW w:type="dxa" w:w="1234"/>
          </w:tcPr>
          <w:p>
            <w:r>
              <w:rPr>
                <w:rFonts w:ascii="Calibri" w:hAnsi="Calibri"/>
                <w:sz w:val="22"/>
              </w:rPr>
              <w:t>Fee-Bearing Tickets Sold (M)</w:t>
            </w:r>
          </w:p>
        </w:tc>
        <w:tc>
          <w:tcPr>
            <w:tcW w:type="dxa" w:w="1234"/>
          </w:tcPr>
          <w:p>
            <w:r>
              <w:rPr>
                <w:rFonts w:ascii="Calibri" w:hAnsi="Calibri"/>
                <w:sz w:val="22"/>
              </w:rPr>
              <w:t>80.6M</w:t>
            </w:r>
          </w:p>
        </w:tc>
        <w:tc>
          <w:tcPr>
            <w:tcW w:type="dxa" w:w="1234"/>
          </w:tcPr>
          <w:p>
            <w:r>
              <w:rPr>
                <w:rFonts w:ascii="Calibri" w:hAnsi="Calibri"/>
                <w:sz w:val="22"/>
              </w:rPr>
              <w:t>83.3M</w:t>
            </w:r>
          </w:p>
        </w:tc>
        <w:tc>
          <w:tcPr>
            <w:tcW w:type="dxa" w:w="1234"/>
          </w:tcPr>
          <w:p>
            <w:r>
              <w:rPr>
                <w:rFonts w:ascii="Calibri" w:hAnsi="Calibri"/>
                <w:sz w:val="22"/>
              </w:rPr>
              <w:t>84.7M</w:t>
            </w:r>
          </w:p>
        </w:tc>
        <w:tc>
          <w:tcPr>
            <w:tcW w:type="dxa" w:w="1234"/>
          </w:tcPr>
          <w:p>
            <w:r>
              <w:rPr>
                <w:rFonts w:ascii="Calibri" w:hAnsi="Calibri"/>
                <w:sz w:val="22"/>
              </w:rPr>
              <w:t>+1.7%</w:t>
            </w:r>
          </w:p>
        </w:tc>
        <w:tc>
          <w:tcPr>
            <w:tcW w:type="dxa" w:w="1234"/>
          </w:tcPr>
          <w:p>
            <w:r>
              <w:rPr>
                <w:rFonts w:ascii="Calibri" w:hAnsi="Calibri"/>
                <w:sz w:val="22"/>
              </w:rPr>
              <w:t>Mid-single-digit primary volume growth FY2026</w:t>
            </w:r>
          </w:p>
        </w:tc>
        <w:tc>
          <w:tcPr>
            <w:tcW w:type="dxa" w:w="1234"/>
          </w:tcPr>
          <w:p>
            <w:r>
              <w:rPr>
                <w:rFonts w:ascii="Calibri" w:hAnsi="Calibri"/>
                <w:sz w:val="22"/>
              </w:rPr>
              <w:t>In line with guide</w:t>
            </w:r>
          </w:p>
        </w:tc>
      </w:tr>
      <w:tr>
        <w:tc>
          <w:tcPr>
            <w:tcW w:type="dxa" w:w="1234"/>
          </w:tcPr>
          <w:p>
            <w:r>
              <w:rPr>
                <w:rFonts w:ascii="Calibri" w:hAnsi="Calibri"/>
                <w:sz w:val="22"/>
              </w:rPr>
              <w:t>Ticketing GTV ($B)</w:t>
            </w:r>
          </w:p>
        </w:tc>
        <w:tc>
          <w:tcPr>
            <w:tcW w:type="dxa" w:w="1234"/>
          </w:tcPr>
          <w:p>
            <w:r>
              <w:rPr>
                <w:rFonts w:ascii="Calibri" w:hAnsi="Calibri"/>
                <w:sz w:val="22"/>
              </w:rPr>
              <w:t>$8.92B</w:t>
            </w:r>
          </w:p>
        </w:tc>
        <w:tc>
          <w:tcPr>
            <w:tcW w:type="dxa" w:w="1234"/>
          </w:tcPr>
          <w:p>
            <w:r>
              <w:rPr>
                <w:rFonts w:ascii="Calibri" w:hAnsi="Calibri"/>
                <w:sz w:val="22"/>
              </w:rPr>
              <w:t>$9.06B</w:t>
            </w:r>
          </w:p>
        </w:tc>
        <w:tc>
          <w:tcPr>
            <w:tcW w:type="dxa" w:w="1234"/>
          </w:tcPr>
          <w:p>
            <w:r>
              <w:rPr>
                <w:rFonts w:ascii="Calibri" w:hAnsi="Calibri"/>
                <w:sz w:val="22"/>
              </w:rPr>
              <w:t>$9.68B</w:t>
            </w:r>
          </w:p>
        </w:tc>
        <w:tc>
          <w:tcPr>
            <w:tcW w:type="dxa" w:w="1234"/>
          </w:tcPr>
          <w:p>
            <w:r>
              <w:rPr>
                <w:rFonts w:ascii="Calibri" w:hAnsi="Calibri"/>
                <w:sz w:val="22"/>
              </w:rPr>
              <w:t>+6.8%</w:t>
            </w:r>
          </w:p>
        </w:tc>
        <w:tc>
          <w:tcPr>
            <w:tcW w:type="dxa" w:w="1234"/>
          </w:tcPr>
          <w:p>
            <w:r>
              <w:rPr>
                <w:rFonts w:ascii="Calibri" w:hAnsi="Calibri"/>
                <w:sz w:val="22"/>
              </w:rPr>
              <w:t>GTV growth driven by concert volume + pricing</w:t>
            </w:r>
          </w:p>
        </w:tc>
        <w:tc>
          <w:tcPr>
            <w:tcW w:type="dxa" w:w="1234"/>
          </w:tcPr>
          <w:p>
            <w:r>
              <w:rPr>
                <w:rFonts w:ascii="Calibri" w:hAnsi="Calibri"/>
                <w:sz w:val="22"/>
              </w:rPr>
              <w:t>N/A (no explicit GTV guide)</w:t>
            </w:r>
          </w:p>
        </w:tc>
      </w:tr>
      <w:tr>
        <w:tc>
          <w:tcPr>
            <w:tcW w:type="dxa" w:w="1234"/>
          </w:tcPr>
          <w:p>
            <w:r>
              <w:rPr>
                <w:rFonts w:ascii="Calibri" w:hAnsi="Calibri"/>
                <w:sz w:val="22"/>
              </w:rPr>
              <w:t>Ticketing Revenue ($M)</w:t>
            </w:r>
          </w:p>
        </w:tc>
        <w:tc>
          <w:tcPr>
            <w:tcW w:type="dxa" w:w="1234"/>
          </w:tcPr>
          <w:p>
            <w:r>
              <w:rPr>
                <w:rFonts w:ascii="Calibri" w:hAnsi="Calibri"/>
                <w:sz w:val="22"/>
              </w:rPr>
              <w:t>$765M</w:t>
            </w:r>
          </w:p>
        </w:tc>
        <w:tc>
          <w:tcPr>
            <w:tcW w:type="dxa" w:w="1234"/>
          </w:tcPr>
          <w:p>
            <w:r>
              <w:rPr>
                <w:rFonts w:ascii="Calibri" w:hAnsi="Calibri"/>
                <w:sz w:val="22"/>
              </w:rPr>
              <w:t>$743M</w:t>
            </w:r>
          </w:p>
        </w:tc>
        <w:tc>
          <w:tcPr>
            <w:tcW w:type="dxa" w:w="1234"/>
          </w:tcPr>
          <w:p>
            <w:r>
              <w:rPr>
                <w:rFonts w:ascii="Calibri" w:hAnsi="Calibri"/>
                <w:sz w:val="22"/>
              </w:rPr>
              <w:t>$769M</w:t>
            </w:r>
          </w:p>
        </w:tc>
        <w:tc>
          <w:tcPr>
            <w:tcW w:type="dxa" w:w="1234"/>
          </w:tcPr>
          <w:p>
            <w:r>
              <w:rPr>
                <w:rFonts w:ascii="Calibri" w:hAnsi="Calibri"/>
                <w:sz w:val="22"/>
              </w:rPr>
              <w:t>+3.5%</w:t>
            </w:r>
          </w:p>
        </w:tc>
        <w:tc>
          <w:tcPr>
            <w:tcW w:type="dxa" w:w="1234"/>
          </w:tcPr>
          <w:p>
            <w:r>
              <w:rPr>
                <w:rFonts w:ascii="Calibri" w:hAnsi="Calibri"/>
                <w:sz w:val="22"/>
              </w:rPr>
              <w:t>Mid-single-digit primary volume growth; secondary headwind mid-single-digit drag to AOI</w:t>
            </w:r>
          </w:p>
        </w:tc>
        <w:tc>
          <w:tcPr>
            <w:tcW w:type="dxa" w:w="1234"/>
          </w:tcPr>
          <w:p>
            <w:r>
              <w:rPr>
                <w:rFonts w:ascii="Calibri" w:hAnsi="Calibri"/>
                <w:sz w:val="22"/>
              </w:rPr>
              <w:t>Slight premium to guide (secondary headwind partially offset by volume)</w:t>
            </w:r>
          </w:p>
        </w:tc>
      </w:tr>
      <w:tr>
        <w:tc>
          <w:tcPr>
            <w:tcW w:type="dxa" w:w="1234"/>
          </w:tcPr>
          <w:p>
            <w:r>
              <w:rPr>
                <w:rFonts w:ascii="Calibri" w:hAnsi="Calibri"/>
                <w:sz w:val="22"/>
              </w:rPr>
              <w:t>Sponsorship &amp; Advertising Revenue ($M)</w:t>
            </w:r>
          </w:p>
        </w:tc>
        <w:tc>
          <w:tcPr>
            <w:tcW w:type="dxa" w:w="1234"/>
          </w:tcPr>
          <w:p>
            <w:r>
              <w:rPr>
                <w:rFonts w:ascii="Calibri" w:hAnsi="Calibri"/>
                <w:sz w:val="22"/>
              </w:rPr>
              <w:t>$259M</w:t>
            </w:r>
          </w:p>
        </w:tc>
        <w:tc>
          <w:tcPr>
            <w:tcW w:type="dxa" w:w="1234"/>
          </w:tcPr>
          <w:p>
            <w:r>
              <w:rPr>
                <w:rFonts w:ascii="Calibri" w:hAnsi="Calibri"/>
                <w:sz w:val="22"/>
              </w:rPr>
              <w:t>$341M</w:t>
            </w:r>
          </w:p>
        </w:tc>
        <w:tc>
          <w:tcPr>
            <w:tcW w:type="dxa" w:w="1234"/>
          </w:tcPr>
          <w:p>
            <w:r>
              <w:rPr>
                <w:rFonts w:ascii="Calibri" w:hAnsi="Calibri"/>
                <w:sz w:val="22"/>
              </w:rPr>
              <w:t>$383M</w:t>
            </w:r>
          </w:p>
        </w:tc>
        <w:tc>
          <w:tcPr>
            <w:tcW w:type="dxa" w:w="1234"/>
          </w:tcPr>
          <w:p>
            <w:r>
              <w:rPr>
                <w:rFonts w:ascii="Calibri" w:hAnsi="Calibri"/>
                <w:sz w:val="22"/>
              </w:rPr>
              <w:t>+12.3%</w:t>
            </w:r>
          </w:p>
        </w:tc>
        <w:tc>
          <w:tcPr>
            <w:tcW w:type="dxa" w:w="1234"/>
          </w:tcPr>
          <w:p>
            <w:r>
              <w:rPr>
                <w:rFonts w:ascii="Calibri" w:hAnsi="Calibri"/>
                <w:sz w:val="22"/>
              </w:rPr>
              <w:t>Double-digit AOI growth FY2026</w:t>
            </w:r>
          </w:p>
        </w:tc>
        <w:tc>
          <w:tcPr>
            <w:tcW w:type="dxa" w:w="1234"/>
          </w:tcPr>
          <w:p>
            <w:r>
              <w:rPr>
                <w:rFonts w:ascii="Calibri" w:hAnsi="Calibri"/>
                <w:sz w:val="22"/>
              </w:rPr>
              <w:t>In line with guide</w:t>
            </w:r>
          </w:p>
        </w:tc>
      </w:tr>
    </w:tbl>
    <w:p>
      <w:r>
        <w:rPr>
          <w:rFonts w:ascii="Calibri" w:hAnsi="Calibri"/>
          <w:i/>
          <w:color w:val="525866"/>
          <w:sz w:val="22"/>
        </w:rPr>
        <w:t>Source: Visible Alpha Consensus and Actuals Data; LYV Q1 2026 Earnings Release (May 5, 2026). All consensus figures as of July 29, 2026.</w:t>
      </w:r>
    </w:p>
    <w:p>
      <w:pPr>
        <w:pStyle w:val="Heading2"/>
      </w:pPr>
      <w:r>
        <w:rPr>
          <w:rFonts w:ascii="Calibri" w:hAnsi="Calibri"/>
          <w:b/>
          <w:color w:val="3B4259"/>
          <w:sz w:val="28"/>
        </w:rPr>
        <w:t>Table 2 — Beat/Miss History (Last 8 Quarters) — Top 2 KPIs: Total Revenue &amp; Total Fans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$3.79B</w:t>
            </w:r>
          </w:p>
        </w:tc>
        <w:tc>
          <w:tcPr>
            <w:tcW w:type="dxa" w:w="1440"/>
          </w:tcPr>
          <w:p>
            <w:r>
              <w:rPr>
                <w:rFonts w:ascii="Calibri" w:hAnsi="Calibri"/>
                <w:sz w:val="22"/>
              </w:rPr>
              <w:t>$3.57B</w:t>
            </w:r>
          </w:p>
        </w:tc>
        <w:tc>
          <w:tcPr>
            <w:tcW w:type="dxa" w:w="1440"/>
          </w:tcPr>
          <w:p>
            <w:r>
              <w:rPr>
                <w:rFonts w:ascii="Calibri" w:hAnsi="Calibri"/>
                <w:b/>
                <w:color w:val="30A46C"/>
                <w:sz w:val="22"/>
              </w:rPr>
              <w:t>+6.1%</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Total Fans</w:t>
            </w:r>
          </w:p>
        </w:tc>
        <w:tc>
          <w:tcPr>
            <w:tcW w:type="dxa" w:w="1440"/>
          </w:tcPr>
          <w:p>
            <w:r>
              <w:rPr>
                <w:rFonts w:ascii="Calibri" w:hAnsi="Calibri"/>
                <w:sz w:val="22"/>
              </w:rPr>
              <w:t>23,788K</w:t>
            </w:r>
          </w:p>
        </w:tc>
        <w:tc>
          <w:tcPr>
            <w:tcW w:type="dxa" w:w="1440"/>
          </w:tcPr>
          <w:p>
            <w:r>
              <w:rPr>
                <w:rFonts w:ascii="Calibri" w:hAnsi="Calibri"/>
                <w:sz w:val="22"/>
              </w:rPr>
              <w:t>22,923K</w:t>
            </w:r>
          </w:p>
        </w:tc>
        <w:tc>
          <w:tcPr>
            <w:tcW w:type="dxa" w:w="1440"/>
          </w:tcPr>
          <w:p>
            <w:r>
              <w:rPr>
                <w:rFonts w:ascii="Calibri" w:hAnsi="Calibri"/>
                <w:b/>
                <w:color w:val="30A46C"/>
                <w:sz w:val="22"/>
              </w:rPr>
              <w:t>+3.8%</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$6.31B</w:t>
            </w:r>
          </w:p>
        </w:tc>
        <w:tc>
          <w:tcPr>
            <w:tcW w:type="dxa" w:w="1440"/>
          </w:tcPr>
          <w:p>
            <w:r>
              <w:rPr>
                <w:rFonts w:ascii="Calibri" w:hAnsi="Calibri"/>
                <w:sz w:val="22"/>
              </w:rPr>
              <w:t>$6.10B</w:t>
            </w:r>
          </w:p>
        </w:tc>
        <w:tc>
          <w:tcPr>
            <w:tcW w:type="dxa" w:w="1440"/>
          </w:tcPr>
          <w:p>
            <w:r>
              <w:rPr>
                <w:rFonts w:ascii="Calibri" w:hAnsi="Calibri"/>
                <w:b/>
                <w:color w:val="30A46C"/>
                <w:sz w:val="22"/>
              </w:rPr>
              <w:t>+3.5%</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Total Fans</w:t>
            </w:r>
          </w:p>
        </w:tc>
        <w:tc>
          <w:tcPr>
            <w:tcW w:type="dxa" w:w="1440"/>
          </w:tcPr>
          <w:p>
            <w:r>
              <w:rPr>
                <w:rFonts w:ascii="Calibri" w:hAnsi="Calibri"/>
                <w:sz w:val="22"/>
              </w:rPr>
              <w:t>41,375K</w:t>
            </w:r>
          </w:p>
        </w:tc>
        <w:tc>
          <w:tcPr>
            <w:tcW w:type="dxa" w:w="1440"/>
          </w:tcPr>
          <w:p>
            <w:r>
              <w:rPr>
                <w:rFonts w:ascii="Calibri" w:hAnsi="Calibri"/>
                <w:sz w:val="22"/>
              </w:rPr>
              <w:t>41,766K</w:t>
            </w:r>
          </w:p>
        </w:tc>
        <w:tc>
          <w:tcPr>
            <w:tcW w:type="dxa" w:w="1440"/>
          </w:tcPr>
          <w:p>
            <w:r>
              <w:rPr>
                <w:rFonts w:ascii="Calibri" w:hAnsi="Calibri"/>
                <w:b/>
                <w:color w:val="E5484D"/>
                <w:sz w:val="22"/>
              </w:rPr>
              <w:t>-1.0%</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$8.50B</w:t>
            </w:r>
          </w:p>
        </w:tc>
        <w:tc>
          <w:tcPr>
            <w:tcW w:type="dxa" w:w="1440"/>
          </w:tcPr>
          <w:p>
            <w:r>
              <w:rPr>
                <w:rFonts w:ascii="Calibri" w:hAnsi="Calibri"/>
                <w:sz w:val="22"/>
              </w:rPr>
              <w:t>$8.57B</w:t>
            </w:r>
          </w:p>
        </w:tc>
        <w:tc>
          <w:tcPr>
            <w:tcW w:type="dxa" w:w="1440"/>
          </w:tcPr>
          <w:p>
            <w:r>
              <w:rPr>
                <w:rFonts w:ascii="Calibri" w:hAnsi="Calibri"/>
                <w:b/>
                <w:color w:val="E5484D"/>
                <w:sz w:val="22"/>
              </w:rPr>
              <w:t>-0.9%</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Total Fans</w:t>
            </w:r>
          </w:p>
        </w:tc>
        <w:tc>
          <w:tcPr>
            <w:tcW w:type="dxa" w:w="1440"/>
          </w:tcPr>
          <w:p>
            <w:r>
              <w:rPr>
                <w:rFonts w:ascii="Calibri" w:hAnsi="Calibri"/>
                <w:sz w:val="22"/>
              </w:rPr>
              <w:t>51,269K</w:t>
            </w:r>
          </w:p>
        </w:tc>
        <w:tc>
          <w:tcPr>
            <w:tcW w:type="dxa" w:w="1440"/>
          </w:tcPr>
          <w:p>
            <w:r>
              <w:rPr>
                <w:rFonts w:ascii="Calibri" w:hAnsi="Calibri"/>
                <w:sz w:val="22"/>
              </w:rPr>
              <w:t>51,946K</w:t>
            </w:r>
          </w:p>
        </w:tc>
        <w:tc>
          <w:tcPr>
            <w:tcW w:type="dxa" w:w="1440"/>
          </w:tcPr>
          <w:p>
            <w:r>
              <w:rPr>
                <w:rFonts w:ascii="Calibri" w:hAnsi="Calibri"/>
                <w:b/>
                <w:color w:val="E5484D"/>
                <w:sz w:val="22"/>
              </w:rPr>
              <w:t>-1.3%</w:t>
            </w:r>
          </w:p>
        </w:tc>
        <w:tc>
          <w:tcPr>
            <w:tcW w:type="dxa" w:w="1440"/>
          </w:tcPr>
          <w:p>
            <w:r>
              <w:rPr>
                <w:rFonts w:ascii="Calibri" w:hAnsi="Calibri"/>
                <w:b/>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$7.01B</w:t>
            </w:r>
          </w:p>
        </w:tc>
        <w:tc>
          <w:tcPr>
            <w:tcW w:type="dxa" w:w="1440"/>
          </w:tcPr>
          <w:p>
            <w:r>
              <w:rPr>
                <w:rFonts w:ascii="Calibri" w:hAnsi="Calibri"/>
                <w:sz w:val="22"/>
              </w:rPr>
              <w:t>$6.78B</w:t>
            </w:r>
          </w:p>
        </w:tc>
        <w:tc>
          <w:tcPr>
            <w:tcW w:type="dxa" w:w="1440"/>
          </w:tcPr>
          <w:p>
            <w:r>
              <w:rPr>
                <w:rFonts w:ascii="Calibri" w:hAnsi="Calibri"/>
                <w:b/>
                <w:color w:val="30A46C"/>
                <w:sz w:val="22"/>
              </w:rPr>
              <w:t>+3.4%</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Total Fans</w:t>
            </w:r>
          </w:p>
        </w:tc>
        <w:tc>
          <w:tcPr>
            <w:tcW w:type="dxa" w:w="1440"/>
          </w:tcPr>
          <w:p>
            <w:r>
              <w:rPr>
                <w:rFonts w:ascii="Calibri" w:hAnsi="Calibri"/>
                <w:sz w:val="22"/>
              </w:rPr>
              <w:t>44,215K</w:t>
            </w:r>
          </w:p>
        </w:tc>
        <w:tc>
          <w:tcPr>
            <w:tcW w:type="dxa" w:w="1440"/>
          </w:tcPr>
          <w:p>
            <w:r>
              <w:rPr>
                <w:rFonts w:ascii="Calibri" w:hAnsi="Calibri"/>
                <w:sz w:val="22"/>
              </w:rPr>
              <w:t>42,944K</w:t>
            </w:r>
          </w:p>
        </w:tc>
        <w:tc>
          <w:tcPr>
            <w:tcW w:type="dxa" w:w="1440"/>
          </w:tcPr>
          <w:p>
            <w:r>
              <w:rPr>
                <w:rFonts w:ascii="Calibri" w:hAnsi="Calibri"/>
                <w:b/>
                <w:color w:val="30A46C"/>
                <w:sz w:val="22"/>
              </w:rPr>
              <w:t>+3.0%</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$3.38B</w:t>
            </w:r>
          </w:p>
        </w:tc>
        <w:tc>
          <w:tcPr>
            <w:tcW w:type="dxa" w:w="1440"/>
          </w:tcPr>
          <w:p>
            <w:r>
              <w:rPr>
                <w:rFonts w:ascii="Calibri" w:hAnsi="Calibri"/>
                <w:sz w:val="22"/>
              </w:rPr>
              <w:t>$3.48B</w:t>
            </w:r>
          </w:p>
        </w:tc>
        <w:tc>
          <w:tcPr>
            <w:tcW w:type="dxa" w:w="1440"/>
          </w:tcPr>
          <w:p>
            <w:r>
              <w:rPr>
                <w:rFonts w:ascii="Calibri" w:hAnsi="Calibri"/>
                <w:b/>
                <w:color w:val="E5484D"/>
                <w:sz w:val="22"/>
              </w:rPr>
              <w:t>-2.8%</w:t>
            </w:r>
          </w:p>
        </w:tc>
        <w:tc>
          <w:tcPr>
            <w:tcW w:type="dxa" w:w="1440"/>
          </w:tcPr>
          <w:p>
            <w:r>
              <w:rPr>
                <w:rFonts w:ascii="Calibri" w:hAnsi="Calibri"/>
                <w:b/>
                <w:sz w:val="22"/>
              </w:rPr>
              <w:t>Miss</w:t>
            </w:r>
          </w:p>
        </w:tc>
      </w:tr>
      <w:tr>
        <w:tc>
          <w:tcPr>
            <w:tcW w:type="dxa" w:w="1440"/>
          </w:tcPr>
          <w:p>
            <w:r>
              <w:rPr>
                <w:rFonts w:ascii="Calibri" w:hAnsi="Calibri"/>
                <w:sz w:val="22"/>
              </w:rPr>
              <w:t>Q1 2025</w:t>
            </w:r>
          </w:p>
        </w:tc>
        <w:tc>
          <w:tcPr>
            <w:tcW w:type="dxa" w:w="1440"/>
          </w:tcPr>
          <w:p>
            <w:r>
              <w:rPr>
                <w:rFonts w:ascii="Calibri" w:hAnsi="Calibri"/>
                <w:sz w:val="22"/>
              </w:rPr>
              <w:t>Total Fans</w:t>
            </w:r>
          </w:p>
        </w:tc>
        <w:tc>
          <w:tcPr>
            <w:tcW w:type="dxa" w:w="1440"/>
          </w:tcPr>
          <w:p>
            <w:r>
              <w:rPr>
                <w:rFonts w:ascii="Calibri" w:hAnsi="Calibri"/>
                <w:sz w:val="22"/>
              </w:rPr>
              <w:t>22,307K</w:t>
            </w:r>
          </w:p>
        </w:tc>
        <w:tc>
          <w:tcPr>
            <w:tcW w:type="dxa" w:w="1440"/>
          </w:tcPr>
          <w:p>
            <w:r>
              <w:rPr>
                <w:rFonts w:ascii="Calibri" w:hAnsi="Calibri"/>
                <w:sz w:val="22"/>
              </w:rPr>
              <w:t>22,204K</w:t>
            </w:r>
          </w:p>
        </w:tc>
        <w:tc>
          <w:tcPr>
            <w:tcW w:type="dxa" w:w="1440"/>
          </w:tcPr>
          <w:p>
            <w:r>
              <w:rPr>
                <w:rFonts w:ascii="Calibri" w:hAnsi="Calibri"/>
                <w:b/>
                <w:color w:val="30A46C"/>
                <w:sz w:val="22"/>
              </w:rPr>
              <w:t>+0.5%</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$5.68B</w:t>
            </w:r>
          </w:p>
        </w:tc>
        <w:tc>
          <w:tcPr>
            <w:tcW w:type="dxa" w:w="1440"/>
          </w:tcPr>
          <w:p>
            <w:r>
              <w:rPr>
                <w:rFonts w:ascii="Calibri" w:hAnsi="Calibri"/>
                <w:sz w:val="22"/>
              </w:rPr>
              <w:t>$5.60B</w:t>
            </w:r>
          </w:p>
        </w:tc>
        <w:tc>
          <w:tcPr>
            <w:tcW w:type="dxa" w:w="1440"/>
          </w:tcPr>
          <w:p>
            <w:r>
              <w:rPr>
                <w:rFonts w:ascii="Calibri" w:hAnsi="Calibri"/>
                <w:b/>
                <w:color w:val="30A46C"/>
                <w:sz w:val="22"/>
              </w:rPr>
              <w:t>+1.4%</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Total Fans</w:t>
            </w:r>
          </w:p>
        </w:tc>
        <w:tc>
          <w:tcPr>
            <w:tcW w:type="dxa" w:w="1440"/>
          </w:tcPr>
          <w:p>
            <w:r>
              <w:rPr>
                <w:rFonts w:ascii="Calibri" w:hAnsi="Calibri"/>
                <w:sz w:val="22"/>
              </w:rPr>
              <w:t>39,123K</w:t>
            </w:r>
          </w:p>
        </w:tc>
        <w:tc>
          <w:tcPr>
            <w:tcW w:type="dxa" w:w="1440"/>
          </w:tcPr>
          <w:p>
            <w:r>
              <w:rPr>
                <w:rFonts w:ascii="Calibri" w:hAnsi="Calibri"/>
                <w:sz w:val="22"/>
              </w:rPr>
              <w:t>36,080K</w:t>
            </w:r>
          </w:p>
        </w:tc>
        <w:tc>
          <w:tcPr>
            <w:tcW w:type="dxa" w:w="1440"/>
          </w:tcPr>
          <w:p>
            <w:r>
              <w:rPr>
                <w:rFonts w:ascii="Calibri" w:hAnsi="Calibri"/>
                <w:b/>
                <w:color w:val="30A46C"/>
                <w:sz w:val="22"/>
              </w:rPr>
              <w:t>+8.4%</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$7.65B</w:t>
            </w:r>
          </w:p>
        </w:tc>
        <w:tc>
          <w:tcPr>
            <w:tcW w:type="dxa" w:w="1440"/>
          </w:tcPr>
          <w:p>
            <w:r>
              <w:rPr>
                <w:rFonts w:ascii="Calibri" w:hAnsi="Calibri"/>
                <w:sz w:val="22"/>
              </w:rPr>
              <w:t>$7.81B</w:t>
            </w:r>
          </w:p>
        </w:tc>
        <w:tc>
          <w:tcPr>
            <w:tcW w:type="dxa" w:w="1440"/>
          </w:tcPr>
          <w:p>
            <w:r>
              <w:rPr>
                <w:rFonts w:ascii="Calibri" w:hAnsi="Calibri"/>
                <w:b/>
                <w:color w:val="E5484D"/>
                <w:sz w:val="22"/>
              </w:rPr>
              <w:t>-2.0%</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Total Fans</w:t>
            </w:r>
          </w:p>
        </w:tc>
        <w:tc>
          <w:tcPr>
            <w:tcW w:type="dxa" w:w="1440"/>
          </w:tcPr>
          <w:p>
            <w:r>
              <w:rPr>
                <w:rFonts w:ascii="Calibri" w:hAnsi="Calibri"/>
                <w:sz w:val="22"/>
              </w:rPr>
              <w:t>50,104K</w:t>
            </w:r>
          </w:p>
        </w:tc>
        <w:tc>
          <w:tcPr>
            <w:tcW w:type="dxa" w:w="1440"/>
          </w:tcPr>
          <w:p>
            <w:r>
              <w:rPr>
                <w:rFonts w:ascii="Calibri" w:hAnsi="Calibri"/>
                <w:sz w:val="22"/>
              </w:rPr>
              <w:t>52,484K</w:t>
            </w:r>
          </w:p>
        </w:tc>
        <w:tc>
          <w:tcPr>
            <w:tcW w:type="dxa" w:w="1440"/>
          </w:tcPr>
          <w:p>
            <w:r>
              <w:rPr>
                <w:rFonts w:ascii="Calibri" w:hAnsi="Calibri"/>
                <w:b/>
                <w:color w:val="E5484D"/>
                <w:sz w:val="22"/>
              </w:rPr>
              <w:t>-4.5%</w:t>
            </w:r>
          </w:p>
        </w:tc>
        <w:tc>
          <w:tcPr>
            <w:tcW w:type="dxa" w:w="1440"/>
          </w:tcPr>
          <w:p>
            <w:r>
              <w:rPr>
                <w:rFonts w:ascii="Calibri" w:hAnsi="Calibri"/>
                <w:b/>
                <w:sz w:val="22"/>
              </w:rPr>
              <w:t>Miss</w:t>
            </w:r>
          </w:p>
        </w:tc>
      </w:tr>
    </w:tbl>
    <w:p>
      <w:r>
        <w:rPr>
          <w:rFonts w:ascii="Calibri" w:hAnsi="Calibri"/>
          <w:i/>
          <w:color w:val="525866"/>
          <w:sz w:val="22"/>
        </w:rPr>
        <w:t>Source: Visible Alpha Consensus and Actuals Data.</w:t>
      </w:r>
      <w:r>
        <w:rPr>
          <w:rFonts w:ascii="Calibri" w:hAnsi="Calibri"/>
          <w:color w:val="525866"/>
          <w:sz w:val="22"/>
        </w:rPr>
        <w:t xml:space="preserve"> LYV has a mixed beat/miss pattern on revenue (5 beats, 3 misses in 8 quarters) and fans (5 beats, 3 misses), with misses concentrated in peak-season quarters (Q3 2024, Q3 2025) where the bar was set high — suggesting consensus tends to overshoot in the seasonally heavy quarters.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 management reiterated double-digit AOI growth for the full year at two subsequent investor conferences — but tone has shifted </w:t>
      </w:r>
      <w:r>
        <w:rPr>
          <w:rFonts w:ascii="Calibri" w:hAnsi="Calibri"/>
          <w:b/>
          <w:color w:val="525866"/>
          <w:sz w:val="22"/>
        </w:rPr>
        <w:t>more defensive on the demand narrative</w:t>
      </w:r>
      <w:r>
        <w:rPr>
          <w:rFonts w:ascii="Calibri" w:hAnsi="Calibri"/>
          <w:color w:val="525866"/>
          <w:sz w:val="22"/>
        </w:rPr>
        <w:t xml:space="preserve"> (explicitly rebutting ‘blue dot fever’ cancellation concerns) while remaining operationally confident.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AOI Growth</w:t>
            </w:r>
          </w:p>
        </w:tc>
        <w:tc>
          <w:tcPr>
            <w:tcW w:type="dxa" w:w="1728"/>
          </w:tcPr>
          <w:p>
            <w:r>
              <w:rPr>
                <w:rFonts w:ascii="Calibri" w:hAnsi="Calibri"/>
                <w:sz w:val="22"/>
              </w:rPr>
              <w:t>Double-digit growth</w:t>
            </w:r>
          </w:p>
        </w:tc>
        <w:tc>
          <w:tcPr>
            <w:tcW w:type="dxa" w:w="1728"/>
          </w:tcPr>
          <w:p>
            <w:r>
              <w:rPr>
                <w:rFonts w:ascii="Calibri" w:hAnsi="Calibri"/>
                <w:sz w:val="22"/>
              </w:rPr>
              <w:t>—</w:t>
            </w:r>
          </w:p>
        </w:tc>
        <w:tc>
          <w:tcPr>
            <w:tcW w:type="dxa" w:w="1728"/>
          </w:tcPr>
          <w:p>
            <w:r>
              <w:rPr>
                <w:rFonts w:ascii="Calibri" w:hAnsi="Calibri"/>
                <w:sz w:val="22"/>
              </w:rPr>
              <w:t>EBITDA $1.78B (FY2026 cons.)</w:t>
            </w:r>
          </w:p>
        </w:tc>
        <w:tc>
          <w:tcPr>
            <w:tcW w:type="dxa" w:w="1728"/>
          </w:tcPr>
          <w:p>
            <w:r>
              <w:rPr>
                <w:rFonts w:ascii="Calibri" w:hAnsi="Calibri"/>
                <w:sz w:val="22"/>
              </w:rPr>
              <w:t>Reiterated at Moffett Nathanson (May 14) and JP Morgan TMC (May 20) conferences; tone confident</w:t>
            </w:r>
          </w:p>
        </w:tc>
      </w:tr>
      <w:tr>
        <w:tc>
          <w:tcPr>
            <w:tcW w:type="dxa" w:w="1728"/>
          </w:tcPr>
          <w:p>
            <w:r>
              <w:rPr>
                <w:rFonts w:ascii="Calibri" w:hAnsi="Calibri"/>
                <w:sz w:val="22"/>
              </w:rPr>
              <w:t>Concerts: FY Fan Attendance</w:t>
            </w:r>
          </w:p>
        </w:tc>
        <w:tc>
          <w:tcPr>
            <w:tcW w:type="dxa" w:w="1728"/>
          </w:tcPr>
          <w:p>
            <w:r>
              <w:rPr>
                <w:rFonts w:ascii="Calibri" w:hAnsi="Calibri"/>
                <w:sz w:val="22"/>
              </w:rPr>
              <w:t>High-single-digit growth</w:t>
            </w:r>
          </w:p>
        </w:tc>
        <w:tc>
          <w:tcPr>
            <w:tcW w:type="dxa" w:w="1728"/>
          </w:tcPr>
          <w:p>
            <w:r>
              <w:rPr>
                <w:rFonts w:ascii="Calibri" w:hAnsi="Calibri"/>
                <w:sz w:val="22"/>
              </w:rPr>
              <w:t>—</w:t>
            </w:r>
          </w:p>
        </w:tc>
        <w:tc>
          <w:tcPr>
            <w:tcW w:type="dxa" w:w="1728"/>
          </w:tcPr>
          <w:p>
            <w:r>
              <w:rPr>
                <w:rFonts w:ascii="Calibri" w:hAnsi="Calibri"/>
                <w:sz w:val="22"/>
              </w:rPr>
              <w:t>171M fans (FY2026 cons.)</w:t>
            </w:r>
          </w:p>
        </w:tc>
        <w:tc>
          <w:tcPr>
            <w:tcW w:type="dxa" w:w="1728"/>
          </w:tcPr>
          <w:p>
            <w:r>
              <w:rPr>
                <w:rFonts w:ascii="Calibri" w:hAnsi="Calibri"/>
                <w:sz w:val="22"/>
              </w:rPr>
              <w:t>Unchanged; Q2 growth led by third-party arenas; 70% of amphitheater growth in Q3</w:t>
            </w:r>
          </w:p>
        </w:tc>
      </w:tr>
      <w:tr>
        <w:tc>
          <w:tcPr>
            <w:tcW w:type="dxa" w:w="1728"/>
          </w:tcPr>
          <w:p>
            <w:r>
              <w:rPr>
                <w:rFonts w:ascii="Calibri" w:hAnsi="Calibri"/>
                <w:sz w:val="22"/>
              </w:rPr>
              <w:t>Concerts: FY AOI Growth</w:t>
            </w:r>
          </w:p>
        </w:tc>
        <w:tc>
          <w:tcPr>
            <w:tcW w:type="dxa" w:w="1728"/>
          </w:tcPr>
          <w:p>
            <w:r>
              <w:rPr>
                <w:rFonts w:ascii="Calibri" w:hAnsi="Calibri"/>
                <w:sz w:val="22"/>
              </w:rPr>
              <w:t>Double-digit growth; margins to build on 2025</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Unchanged; stadium/amphitheater show counts up YoY; all stadium growth in H2</w:t>
            </w:r>
          </w:p>
        </w:tc>
      </w:tr>
      <w:tr>
        <w:tc>
          <w:tcPr>
            <w:tcW w:type="dxa" w:w="1728"/>
          </w:tcPr>
          <w:p>
            <w:r>
              <w:rPr>
                <w:rFonts w:ascii="Calibri" w:hAnsi="Calibri"/>
                <w:sz w:val="22"/>
              </w:rPr>
              <w:t>Ticketmaster: Primary Fee-Bearing Volume</w:t>
            </w:r>
          </w:p>
        </w:tc>
        <w:tc>
          <w:tcPr>
            <w:tcW w:type="dxa" w:w="1728"/>
          </w:tcPr>
          <w:p>
            <w:r>
              <w:rPr>
                <w:rFonts w:ascii="Calibri" w:hAnsi="Calibri"/>
                <w:sz w:val="22"/>
              </w:rPr>
              <w:t>Mid-single-digit growth FY2026</w:t>
            </w:r>
          </w:p>
        </w:tc>
        <w:tc>
          <w:tcPr>
            <w:tcW w:type="dxa" w:w="1728"/>
          </w:tcPr>
          <w:p>
            <w:r>
              <w:rPr>
                <w:rFonts w:ascii="Calibri" w:hAnsi="Calibri"/>
                <w:sz w:val="22"/>
              </w:rPr>
              <w:t>—</w:t>
            </w:r>
          </w:p>
        </w:tc>
        <w:tc>
          <w:tcPr>
            <w:tcW w:type="dxa" w:w="1728"/>
          </w:tcPr>
          <w:p>
            <w:r>
              <w:rPr>
                <w:rFonts w:ascii="Calibri" w:hAnsi="Calibri"/>
                <w:sz w:val="22"/>
              </w:rPr>
              <w:t>84.7M tickets Q2 cons.; 355M FY cons.</w:t>
            </w:r>
          </w:p>
        </w:tc>
        <w:tc>
          <w:tcPr>
            <w:tcW w:type="dxa" w:w="1728"/>
          </w:tcPr>
          <w:p>
            <w:r>
              <w:rPr>
                <w:rFonts w:ascii="Calibri" w:hAnsi="Calibri"/>
                <w:sz w:val="22"/>
              </w:rPr>
              <w:t>Unchanged; secondary headwind (mid-single-digit drag to Ticketmaster AOI) is one-time structural step-down</w:t>
            </w:r>
          </w:p>
        </w:tc>
      </w:tr>
      <w:tr>
        <w:tc>
          <w:tcPr>
            <w:tcW w:type="dxa" w:w="1728"/>
          </w:tcPr>
          <w:p>
            <w:r>
              <w:rPr>
                <w:rFonts w:ascii="Calibri" w:hAnsi="Calibri"/>
                <w:sz w:val="22"/>
              </w:rPr>
              <w:t>Ticketmaster: FY AOI Margin</w:t>
            </w:r>
          </w:p>
        </w:tc>
        <w:tc>
          <w:tcPr>
            <w:tcW w:type="dxa" w:w="1728"/>
          </w:tcPr>
          <w:p>
            <w:r>
              <w:rPr>
                <w:rFonts w:ascii="Calibri" w:hAnsi="Calibri"/>
                <w:sz w:val="22"/>
              </w:rPr>
              <w:t>Similar to 2025</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Unchanged; legal/operational expenses to moderate over next few quarters</w:t>
            </w:r>
          </w:p>
        </w:tc>
      </w:tr>
      <w:tr>
        <w:tc>
          <w:tcPr>
            <w:tcW w:type="dxa" w:w="1728"/>
          </w:tcPr>
          <w:p>
            <w:r>
              <w:rPr>
                <w:rFonts w:ascii="Calibri" w:hAnsi="Calibri"/>
                <w:sz w:val="22"/>
              </w:rPr>
              <w:t>Sponsorship &amp; Advertising: FY AOI</w:t>
            </w:r>
          </w:p>
        </w:tc>
        <w:tc>
          <w:tcPr>
            <w:tcW w:type="dxa" w:w="1728"/>
          </w:tcPr>
          <w:p>
            <w:r>
              <w:rPr>
                <w:rFonts w:ascii="Calibri" w:hAnsi="Calibri"/>
                <w:sz w:val="22"/>
              </w:rPr>
              <w:t>Double-digit growth; margin similar to 2025</w:t>
            </w:r>
          </w:p>
        </w:tc>
        <w:tc>
          <w:tcPr>
            <w:tcW w:type="dxa" w:w="1728"/>
          </w:tcPr>
          <w:p>
            <w:r>
              <w:rPr>
                <w:rFonts w:ascii="Calibri" w:hAnsi="Calibri"/>
                <w:sz w:val="22"/>
              </w:rPr>
              <w:t>—</w:t>
            </w:r>
          </w:p>
        </w:tc>
        <w:tc>
          <w:tcPr>
            <w:tcW w:type="dxa" w:w="1728"/>
          </w:tcPr>
          <w:p>
            <w:r>
              <w:rPr>
                <w:rFonts w:ascii="Calibri" w:hAnsi="Calibri"/>
                <w:sz w:val="22"/>
              </w:rPr>
              <w:t>$383M Q2 cons.; $1.51B FY cons.</w:t>
            </w:r>
          </w:p>
        </w:tc>
        <w:tc>
          <w:tcPr>
            <w:tcW w:type="dxa" w:w="1728"/>
          </w:tcPr>
          <w:p>
            <w:r>
              <w:rPr>
                <w:rFonts w:ascii="Calibri" w:hAnsi="Calibri"/>
                <w:sz w:val="22"/>
              </w:rPr>
              <w:t>Unchanged; driven by venue portfolio expansion, naming rights, international festivals</w:t>
            </w:r>
          </w:p>
        </w:tc>
      </w:tr>
      <w:tr>
        <w:tc>
          <w:tcPr>
            <w:tcW w:type="dxa" w:w="1728"/>
          </w:tcPr>
          <w:p>
            <w:r>
              <w:rPr>
                <w:rFonts w:ascii="Calibri" w:hAnsi="Calibri"/>
                <w:sz w:val="22"/>
              </w:rPr>
              <w:t>FY2026 CapEx</w:t>
            </w:r>
          </w:p>
        </w:tc>
        <w:tc>
          <w:tcPr>
            <w:tcW w:type="dxa" w:w="1728"/>
          </w:tcPr>
          <w:p>
            <w:r>
              <w:rPr>
                <w:rFonts w:ascii="Calibri" w:hAnsi="Calibri"/>
                <w:sz w:val="22"/>
              </w:rPr>
              <w:t>$1.1–$1.2B total; ~$800–$850M for venue expansion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~$250M offset from JV partners/sponsorship; venue securitization (EUR 610M) closed May 8, 2026</w:t>
            </w:r>
          </w:p>
        </w:tc>
      </w:tr>
      <w:tr>
        <w:tc>
          <w:tcPr>
            <w:tcW w:type="dxa" w:w="1728"/>
          </w:tcPr>
          <w:p>
            <w:r>
              <w:rPr>
                <w:rFonts w:ascii="Calibri" w:hAnsi="Calibri"/>
                <w:sz w:val="22"/>
              </w:rPr>
              <w:t>Net Interest Expense (FY2026)</w:t>
            </w:r>
          </w:p>
        </w:tc>
        <w:tc>
          <w:tcPr>
            <w:tcW w:type="dxa" w:w="1728"/>
          </w:tcPr>
          <w:p>
            <w:r>
              <w:rPr>
                <w:rFonts w:ascii="Calibri" w:hAnsi="Calibri"/>
                <w:sz w:val="22"/>
              </w:rPr>
              <w:t>$280M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AOI Phasing</w:t>
            </w:r>
          </w:p>
        </w:tc>
        <w:tc>
          <w:tcPr>
            <w:tcW w:type="dxa" w:w="1728"/>
          </w:tcPr>
          <w:p>
            <w:r>
              <w:rPr>
                <w:rFonts w:ascii="Calibri" w:hAnsi="Calibri"/>
                <w:sz w:val="22"/>
              </w:rPr>
              <w:t>Q3 strongest (stadium/amphitheater calendar); Q4 also strong; Q2 led by third-party arenas</w:t>
            </w:r>
          </w:p>
        </w:tc>
        <w:tc>
          <w:tcPr>
            <w:tcW w:type="dxa" w:w="1728"/>
          </w:tcPr>
          <w:p>
            <w:r>
              <w:rPr>
                <w:rFonts w:ascii="Calibri" w:hAnsi="Calibri"/>
                <w:sz w:val="22"/>
              </w:rPr>
              <w:t>—</w:t>
            </w:r>
          </w:p>
        </w:tc>
        <w:tc>
          <w:tcPr>
            <w:tcW w:type="dxa" w:w="1728"/>
          </w:tcPr>
          <w:p>
            <w:r>
              <w:rPr>
                <w:rFonts w:ascii="Calibri" w:hAnsi="Calibri"/>
                <w:sz w:val="22"/>
              </w:rPr>
              <w:t>Consistent with guide</w:t>
            </w:r>
          </w:p>
        </w:tc>
        <w:tc>
          <w:tcPr>
            <w:tcW w:type="dxa" w:w="1728"/>
          </w:tcPr>
          <w:p>
            <w:r>
              <w:rPr>
                <w:rFonts w:ascii="Calibri" w:hAnsi="Calibri"/>
                <w:sz w:val="22"/>
              </w:rPr>
              <w:t>Reiterated at both May conferences; no change to phasing expectations</w:t>
            </w:r>
          </w:p>
        </w:tc>
      </w:tr>
    </w:tbl>
    <w:p>
      <w:r>
        <w:rPr>
          <w:rFonts w:ascii="Calibri" w:hAnsi="Calibri"/>
          <w:i/>
          <w:color w:val="525866"/>
          <w:sz w:val="22"/>
        </w:rPr>
        <w:t>Source: LYV Q1 2026 Earnings Call Transcript (May 5, 2026); Moffett Nathanson Conference Transcript (May 14, 2026); JP Morgan TMC Conference Transcript (May 20, 2026); Visible Alpha Consensus.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has moved less than 0.1% and EBITDA less than 1% since the May 8 baseline — suggesting the street is comfortable with management’s guide rather than building in upside; the gap between consensus and guidance is not a risk or a cushion, it’s a neutral read.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$7.557B</w:t>
            </w:r>
          </w:p>
        </w:tc>
        <w:tc>
          <w:tcPr>
            <w:tcW w:type="dxa" w:w="1080"/>
          </w:tcPr>
          <w:p>
            <w:r>
              <w:rPr>
                <w:rFonts w:ascii="Calibri" w:hAnsi="Calibri"/>
                <w:sz w:val="22"/>
              </w:rPr>
              <w:t>$7.553B</w:t>
            </w:r>
          </w:p>
        </w:tc>
        <w:tc>
          <w:tcPr>
            <w:tcW w:type="dxa" w:w="1080"/>
          </w:tcPr>
          <w:p>
            <w:r>
              <w:rPr>
                <w:rFonts w:ascii="Calibri" w:hAnsi="Calibri"/>
                <w:sz w:val="22"/>
              </w:rPr>
              <w:t>-0.05%</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$27.776B</w:t>
            </w:r>
          </w:p>
        </w:tc>
        <w:tc>
          <w:tcPr>
            <w:tcW w:type="dxa" w:w="1080"/>
          </w:tcPr>
          <w:p>
            <w:r>
              <w:rPr>
                <w:rFonts w:ascii="Calibri" w:hAnsi="Calibri"/>
                <w:sz w:val="22"/>
              </w:rPr>
              <w:t>$27.792B</w:t>
            </w:r>
          </w:p>
        </w:tc>
        <w:tc>
          <w:tcPr>
            <w:tcW w:type="dxa" w:w="1080"/>
          </w:tcPr>
          <w:p>
            <w:r>
              <w:rPr>
                <w:rFonts w:ascii="Calibri" w:hAnsi="Calibri"/>
                <w:sz w:val="22"/>
              </w:rPr>
              <w:t>+0.06%</w:t>
            </w:r>
          </w:p>
        </w:tc>
        <w:tc>
          <w:tcPr>
            <w:tcW w:type="dxa" w:w="1080"/>
          </w:tcPr>
          <w:p>
            <w:r>
              <w:rPr>
                <w:rFonts w:ascii="Calibri" w:hAnsi="Calibri"/>
                <w:sz w:val="22"/>
              </w:rPr>
              <w:t>High-single-digit fan growth; double-digit AOI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explicit revenue guide)</w:t>
            </w:r>
          </w:p>
        </w:tc>
      </w:tr>
      <w:tr>
        <w:tc>
          <w:tcPr>
            <w:tcW w:type="dxa" w:w="1080"/>
          </w:tcPr>
          <w:p>
            <w:r>
              <w:rPr>
                <w:rFonts w:ascii="Calibri" w:hAnsi="Calibri"/>
                <w:sz w:val="22"/>
              </w:rPr>
              <w:t>EBITDA — Q2 2026</w:t>
            </w:r>
          </w:p>
        </w:tc>
        <w:tc>
          <w:tcPr>
            <w:tcW w:type="dxa" w:w="1080"/>
          </w:tcPr>
          <w:p>
            <w:r>
              <w:rPr>
                <w:rFonts w:ascii="Calibri" w:hAnsi="Calibri"/>
                <w:sz w:val="22"/>
              </w:rPr>
              <w:t>$647.5M</w:t>
            </w:r>
          </w:p>
        </w:tc>
        <w:tc>
          <w:tcPr>
            <w:tcW w:type="dxa" w:w="1080"/>
          </w:tcPr>
          <w:p>
            <w:r>
              <w:rPr>
                <w:rFonts w:ascii="Calibri" w:hAnsi="Calibri"/>
                <w:sz w:val="22"/>
              </w:rPr>
              <w:t>$652.1M</w:t>
            </w:r>
          </w:p>
        </w:tc>
        <w:tc>
          <w:tcPr>
            <w:tcW w:type="dxa" w:w="1080"/>
          </w:tcPr>
          <w:p>
            <w:r>
              <w:rPr>
                <w:rFonts w:ascii="Calibri" w:hAnsi="Calibri"/>
                <w:sz w:val="22"/>
              </w:rPr>
              <w:t>+0.7%</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FY2026</w:t>
            </w:r>
          </w:p>
        </w:tc>
        <w:tc>
          <w:tcPr>
            <w:tcW w:type="dxa" w:w="1080"/>
          </w:tcPr>
          <w:p>
            <w:r>
              <w:rPr>
                <w:rFonts w:ascii="Calibri" w:hAnsi="Calibri"/>
                <w:sz w:val="22"/>
              </w:rPr>
              <w:t>$1.752B</w:t>
            </w:r>
          </w:p>
        </w:tc>
        <w:tc>
          <w:tcPr>
            <w:tcW w:type="dxa" w:w="1080"/>
          </w:tcPr>
          <w:p>
            <w:r>
              <w:rPr>
                <w:rFonts w:ascii="Calibri" w:hAnsi="Calibri"/>
                <w:sz w:val="22"/>
              </w:rPr>
              <w:t>$1.781B</w:t>
            </w:r>
          </w:p>
        </w:tc>
        <w:tc>
          <w:tcPr>
            <w:tcW w:type="dxa" w:w="1080"/>
          </w:tcPr>
          <w:p>
            <w:r>
              <w:rPr>
                <w:rFonts w:ascii="Calibri" w:hAnsi="Calibri"/>
                <w:sz w:val="22"/>
              </w:rPr>
              <w:t>+1.7%</w:t>
            </w:r>
          </w:p>
        </w:tc>
        <w:tc>
          <w:tcPr>
            <w:tcW w:type="dxa" w:w="1080"/>
          </w:tcPr>
          <w:p>
            <w:r>
              <w:rPr>
                <w:rFonts w:ascii="Calibri" w:hAnsi="Calibri"/>
                <w:sz w:val="22"/>
              </w:rPr>
              <w:t>Double-digit AOI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~15–20% AOI growth, consistent with guide</w:t>
            </w:r>
          </w:p>
        </w:tc>
      </w:tr>
      <w:tr>
        <w:tc>
          <w:tcPr>
            <w:tcW w:type="dxa" w:w="1080"/>
          </w:tcPr>
          <w:p>
            <w:r>
              <w:rPr>
                <w:rFonts w:ascii="Calibri" w:hAnsi="Calibri"/>
                <w:sz w:val="22"/>
              </w:rPr>
              <w:t>Diluted EPS — Q2 2026</w:t>
            </w:r>
          </w:p>
        </w:tc>
        <w:tc>
          <w:tcPr>
            <w:tcW w:type="dxa" w:w="1080"/>
          </w:tcPr>
          <w:p>
            <w:r>
              <w:rPr>
                <w:rFonts w:ascii="Calibri" w:hAnsi="Calibri"/>
                <w:sz w:val="22"/>
              </w:rPr>
              <w:t>$0.606</w:t>
            </w:r>
          </w:p>
        </w:tc>
        <w:tc>
          <w:tcPr>
            <w:tcW w:type="dxa" w:w="1080"/>
          </w:tcPr>
          <w:p>
            <w:r>
              <w:rPr>
                <w:rFonts w:ascii="Calibri" w:hAnsi="Calibri"/>
                <w:sz w:val="22"/>
              </w:rPr>
              <w:t>$0.624</w:t>
            </w:r>
          </w:p>
        </w:tc>
        <w:tc>
          <w:tcPr>
            <w:tcW w:type="dxa" w:w="1080"/>
          </w:tcPr>
          <w:p>
            <w:r>
              <w:rPr>
                <w:rFonts w:ascii="Calibri" w:hAnsi="Calibri"/>
                <w:sz w:val="22"/>
              </w:rPr>
              <w:t>+3.0%</w:t>
            </w:r>
          </w:p>
        </w:tc>
        <w:tc>
          <w:tcPr>
            <w:tcW w:type="dxa" w:w="1080"/>
          </w:tcPr>
          <w:p>
            <w:r>
              <w:rPr>
                <w:rFonts w:ascii="Calibri" w:hAnsi="Calibri"/>
                <w:sz w:val="22"/>
              </w:rPr>
              <w:t>No explicit EPS guide</w:t>
            </w:r>
          </w:p>
        </w:tc>
        <w:tc>
          <w:tcPr>
            <w:tcW w:type="dxa" w:w="1080"/>
          </w:tcPr>
          <w:p>
            <w:r>
              <w:rPr>
                <w:rFonts w:ascii="Calibri" w:hAnsi="Calibri"/>
                <w:sz w:val="22"/>
              </w:rPr>
              <w:t>No explicit EPS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EPS — FY2026</w:t>
            </w:r>
          </w:p>
        </w:tc>
        <w:tc>
          <w:tcPr>
            <w:tcW w:type="dxa" w:w="1080"/>
          </w:tcPr>
          <w:p>
            <w:r>
              <w:rPr>
                <w:rFonts w:ascii="Calibri" w:hAnsi="Calibri"/>
                <w:sz w:val="22"/>
              </w:rPr>
              <w:t>-$0.279</w:t>
            </w:r>
          </w:p>
        </w:tc>
        <w:tc>
          <w:tcPr>
            <w:tcW w:type="dxa" w:w="1080"/>
          </w:tcPr>
          <w:p>
            <w:r>
              <w:rPr>
                <w:rFonts w:ascii="Calibri" w:hAnsi="Calibri"/>
                <w:sz w:val="22"/>
              </w:rPr>
              <w:t>-$0.164</w:t>
            </w:r>
          </w:p>
        </w:tc>
        <w:tc>
          <w:tcPr>
            <w:tcW w:type="dxa" w:w="1080"/>
          </w:tcPr>
          <w:p>
            <w:r>
              <w:rPr>
                <w:rFonts w:ascii="Calibri" w:hAnsi="Calibri"/>
                <w:sz w:val="22"/>
              </w:rPr>
              <w:t>+41% (less negative)</w:t>
            </w:r>
          </w:p>
        </w:tc>
        <w:tc>
          <w:tcPr>
            <w:tcW w:type="dxa" w:w="1080"/>
          </w:tcPr>
          <w:p>
            <w:r>
              <w:rPr>
                <w:rFonts w:ascii="Calibri" w:hAnsi="Calibri"/>
                <w:sz w:val="22"/>
              </w:rPr>
              <w:t>No explicit EPS guide; $450M legal accrual impacts FY GAAP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FY EPS improving as legal charge is absorbed; GAAP EPS remains negative FY2026</w:t>
            </w:r>
          </w:p>
        </w:tc>
      </w:tr>
    </w:tbl>
    <w:p>
      <w:r>
        <w:rPr>
          <w:rFonts w:ascii="Calibri" w:hAnsi="Calibri"/>
          <w:i/>
          <w:color w:val="525866"/>
          <w:sz w:val="22"/>
        </w:rPr>
        <w:t>Source: Visible Alpha Consensus and Actuals Data (revision history weekly series, May 8 – July 29, 2026).</w:t>
      </w:r>
      <w:r>
        <w:rPr>
          <w:rFonts w:ascii="Calibri" w:hAnsi="Calibri"/>
          <w:color w:val="525866"/>
          <w:sz w:val="22"/>
        </w:rPr>
        <w:t xml:space="preserve"> Estimates have been essentially flat since the Q1 print across all key metrics, confirming the street is anchored to management’s guide. The modest upward drift in FY EBITDA (+1.7%) and Q2 EPS (+3.0%) suggests slight positive revision bias, but not enough to call it a meaningful setup for a beat.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LYV has significantly outperformed both the consumer discretionary/leisure ETF (PEJ) and the S&amp;P 500 since the Q1 print, driven almost entirely by </w:t>
      </w:r>
      <w:r>
        <w:rPr>
          <w:rFonts w:ascii="Calibri" w:hAnsi="Calibri"/>
          <w:b/>
          <w:color w:val="525866"/>
          <w:sz w:val="22"/>
        </w:rPr>
        <w:t>multiple re-expansion</w:t>
      </w:r>
      <w:r>
        <w:rPr>
          <w:rFonts w:ascii="Calibri" w:hAnsi="Calibri"/>
          <w:color w:val="525866"/>
          <w:sz w:val="22"/>
        </w:rPr>
        <w:t xml:space="preserve"> (EV/EBITDA expanded from ~17.6x to ~20.1x over 3 months) as the antitrust overhang was partially de-risked by the DOJ settlement and the legal process timeline became clearer.</w:t>
      </w:r>
    </w:p>
    <w:p>
      <w:r>
        <w:rPr>
          <w:rFonts w:ascii="Calibri" w:hAnsi="Calibri"/>
          <w:color w:val="525866"/>
          <w:sz w:val="22"/>
        </w:rPr>
        <w:t xml:space="preserve">Since the Q1 2026 earnings release on May 5, 2026, LYV has returned approximately </w:t>
      </w:r>
      <w:r>
        <w:rPr>
          <w:rFonts w:ascii="Calibri" w:hAnsi="Calibri"/>
          <w:b/>
          <w:color w:val="525866"/>
          <w:sz w:val="22"/>
        </w:rPr>
        <w:t>+17.3%</w:t>
      </w:r>
      <w:r>
        <w:rPr>
          <w:rFonts w:ascii="Calibri" w:hAnsi="Calibri"/>
          <w:color w:val="525866"/>
          <w:sz w:val="22"/>
        </w:rPr>
        <w:t xml:space="preserve"> (from $157.26 to $184.43 as of July 30, 2026), compared to </w:t>
      </w:r>
      <w:r>
        <w:rPr>
          <w:rFonts w:ascii="Calibri" w:hAnsi="Calibri"/>
          <w:b/>
          <w:color w:val="525866"/>
          <w:sz w:val="22"/>
        </w:rPr>
        <w:t>+12.3%</w:t>
      </w:r>
      <w:r>
        <w:rPr>
          <w:rFonts w:ascii="Calibri" w:hAnsi="Calibri"/>
          <w:color w:val="525866"/>
          <w:sz w:val="22"/>
        </w:rPr>
        <w:t xml:space="preserve"> for PEJ (Invesco Dynamic Leisure &amp; Entertainment ETF) and </w:t>
      </w:r>
      <w:r>
        <w:rPr>
          <w:rFonts w:ascii="Calibri" w:hAnsi="Calibri"/>
          <w:b/>
          <w:color w:val="525866"/>
          <w:sz w:val="22"/>
        </w:rPr>
        <w:t>+0.8%</w:t>
      </w:r>
      <w:r>
        <w:rPr>
          <w:rFonts w:ascii="Calibri" w:hAnsi="Calibri"/>
          <w:color w:val="525866"/>
          <w:sz w:val="22"/>
        </w:rPr>
        <w:t xml:space="preserve"> for the S&amp;P 500 (SPY). The outperformance is notable given the stock had already sold off sharply in April following the state AG jury verdict. The re-rating has been driven by multiple expansion rather than estimate revisions (which have been flat), suggesting the market is pricing in legal risk reduction and confidence in the 2026 pipeline. PEJ is used as the sector proxy given LYV’s primary exposure to live entertainment and leisure consumer spending.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Milestone</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LYV Price</w:t>
            </w:r>
          </w:p>
        </w:tc>
        <w:tc>
          <w:tcPr>
            <w:tcW w:type="dxa" w:w="2160"/>
            <w:shd w:val="clear" w:color="auto" w:fill="3B4259"/>
          </w:tcPr>
          <w:p>
            <w:r>
              <w:rPr>
                <w:rFonts w:ascii="Calibri" w:hAnsi="Calibri"/>
                <w:b/>
                <w:color w:val="FFFFFF"/>
                <w:sz w:val="22"/>
              </w:rPr>
              <w:t>Event</w:t>
            </w:r>
          </w:p>
        </w:tc>
      </w:tr>
      <w:tr>
        <w:tc>
          <w:tcPr>
            <w:tcW w:type="dxa" w:w="2160"/>
          </w:tcPr>
          <w:p>
            <w:r>
              <w:rPr>
                <w:rFonts w:ascii="Calibri" w:hAnsi="Calibri"/>
                <w:sz w:val="22"/>
              </w:rPr>
              <w:t>Q1 2026 Earnings (Base)</w:t>
            </w:r>
          </w:p>
        </w:tc>
        <w:tc>
          <w:tcPr>
            <w:tcW w:type="dxa" w:w="2160"/>
          </w:tcPr>
          <w:p>
            <w:r>
              <w:rPr>
                <w:rFonts w:ascii="Calibri" w:hAnsi="Calibri"/>
                <w:sz w:val="22"/>
              </w:rPr>
              <w:t>May 5, 2026</w:t>
            </w:r>
          </w:p>
        </w:tc>
        <w:tc>
          <w:tcPr>
            <w:tcW w:type="dxa" w:w="2160"/>
          </w:tcPr>
          <w:p>
            <w:r>
              <w:rPr>
                <w:rFonts w:ascii="Calibri" w:hAnsi="Calibri"/>
                <w:sz w:val="22"/>
              </w:rPr>
              <w:t>$157.26</w:t>
            </w:r>
          </w:p>
        </w:tc>
        <w:tc>
          <w:tcPr>
            <w:tcW w:type="dxa" w:w="2160"/>
          </w:tcPr>
          <w:p>
            <w:r>
              <w:rPr>
                <w:rFonts w:ascii="Calibri" w:hAnsi="Calibri"/>
                <w:sz w:val="22"/>
              </w:rPr>
              <w:t>Q1 2026 results; revenue beat; $450M legal accrual; record deferred revenue</w:t>
            </w:r>
          </w:p>
        </w:tc>
      </w:tr>
      <w:tr>
        <w:tc>
          <w:tcPr>
            <w:tcW w:type="dxa" w:w="2160"/>
          </w:tcPr>
          <w:p>
            <w:r>
              <w:rPr>
                <w:rFonts w:ascii="Calibri" w:hAnsi="Calibri"/>
                <w:sz w:val="22"/>
              </w:rPr>
              <w:t>Venue Securitization Close</w:t>
            </w:r>
          </w:p>
        </w:tc>
        <w:tc>
          <w:tcPr>
            <w:tcW w:type="dxa" w:w="2160"/>
          </w:tcPr>
          <w:p>
            <w:r>
              <w:rPr>
                <w:rFonts w:ascii="Calibri" w:hAnsi="Calibri"/>
                <w:sz w:val="22"/>
              </w:rPr>
              <w:t>May 8, 2026</w:t>
            </w:r>
          </w:p>
        </w:tc>
        <w:tc>
          <w:tcPr>
            <w:tcW w:type="dxa" w:w="2160"/>
          </w:tcPr>
          <w:p>
            <w:r>
              <w:rPr>
                <w:rFonts w:ascii="Calibri" w:hAnsi="Calibri"/>
                <w:sz w:val="22"/>
              </w:rPr>
              <w:t>$163.28</w:t>
            </w:r>
          </w:p>
        </w:tc>
        <w:tc>
          <w:tcPr>
            <w:tcW w:type="dxa" w:w="2160"/>
          </w:tcPr>
          <w:p>
            <w:r>
              <w:rPr>
                <w:rFonts w:ascii="Calibri" w:hAnsi="Calibri"/>
                <w:sz w:val="22"/>
              </w:rPr>
              <w:t>EUR 610M senior secured notes offering closed; Venue Nation financing confirmed</w:t>
            </w:r>
          </w:p>
        </w:tc>
      </w:tr>
      <w:tr>
        <w:tc>
          <w:tcPr>
            <w:tcW w:type="dxa" w:w="2160"/>
          </w:tcPr>
          <w:p>
            <w:r>
              <w:rPr>
                <w:rFonts w:ascii="Calibri" w:hAnsi="Calibri"/>
                <w:sz w:val="22"/>
              </w:rPr>
              <w:t>Moffett Nathanson Conference</w:t>
            </w:r>
          </w:p>
        </w:tc>
        <w:tc>
          <w:tcPr>
            <w:tcW w:type="dxa" w:w="2160"/>
          </w:tcPr>
          <w:p>
            <w:r>
              <w:rPr>
                <w:rFonts w:ascii="Calibri" w:hAnsi="Calibri"/>
                <w:sz w:val="22"/>
              </w:rPr>
              <w:t>May 14, 2026</w:t>
            </w:r>
          </w:p>
        </w:tc>
        <w:tc>
          <w:tcPr>
            <w:tcW w:type="dxa" w:w="2160"/>
          </w:tcPr>
          <w:p>
            <w:r>
              <w:rPr>
                <w:rFonts w:ascii="Calibri" w:hAnsi="Calibri"/>
                <w:sz w:val="22"/>
              </w:rPr>
              <w:t>$169.99</w:t>
            </w:r>
          </w:p>
        </w:tc>
        <w:tc>
          <w:tcPr>
            <w:tcW w:type="dxa" w:w="2160"/>
          </w:tcPr>
          <w:p>
            <w:r>
              <w:rPr>
                <w:rFonts w:ascii="Calibri" w:hAnsi="Calibri"/>
                <w:sz w:val="22"/>
              </w:rPr>
              <w:t>CFO Berchtold reiterates demand strength; 'blue dot fever' rebuttal; sell-through rates in line with prior year</w:t>
            </w:r>
          </w:p>
        </w:tc>
      </w:tr>
      <w:tr>
        <w:tc>
          <w:tcPr>
            <w:tcW w:type="dxa" w:w="2160"/>
          </w:tcPr>
          <w:p>
            <w:r>
              <w:rPr>
                <w:rFonts w:ascii="Calibri" w:hAnsi="Calibri"/>
                <w:sz w:val="22"/>
              </w:rPr>
              <w:t>JP Morgan TMC Conference</w:t>
            </w:r>
          </w:p>
        </w:tc>
        <w:tc>
          <w:tcPr>
            <w:tcW w:type="dxa" w:w="2160"/>
          </w:tcPr>
          <w:p>
            <w:r>
              <w:rPr>
                <w:rFonts w:ascii="Calibri" w:hAnsi="Calibri"/>
                <w:sz w:val="22"/>
              </w:rPr>
              <w:t>May 20, 2026</w:t>
            </w:r>
          </w:p>
        </w:tc>
        <w:tc>
          <w:tcPr>
            <w:tcW w:type="dxa" w:w="2160"/>
          </w:tcPr>
          <w:p>
            <w:r>
              <w:rPr>
                <w:rFonts w:ascii="Calibri" w:hAnsi="Calibri"/>
                <w:sz w:val="22"/>
              </w:rPr>
              <w:t>$164.44</w:t>
            </w:r>
          </w:p>
        </w:tc>
        <w:tc>
          <w:tcPr>
            <w:tcW w:type="dxa" w:w="2160"/>
          </w:tcPr>
          <w:p>
            <w:r>
              <w:rPr>
                <w:rFonts w:ascii="Calibri" w:hAnsi="Calibri"/>
                <w:sz w:val="22"/>
              </w:rPr>
              <w:t>119M tickets sold (up from 107M at Q1); per-cap spending up at early amphitheater shows</w:t>
            </w:r>
          </w:p>
        </w:tc>
      </w:tr>
      <w:tr>
        <w:tc>
          <w:tcPr>
            <w:tcW w:type="dxa" w:w="2160"/>
          </w:tcPr>
          <w:p>
            <w:r>
              <w:rPr>
                <w:rFonts w:ascii="Calibri" w:hAnsi="Calibri"/>
                <w:sz w:val="22"/>
              </w:rPr>
              <w:t>Annual Shareholder Meeting</w:t>
            </w:r>
          </w:p>
        </w:tc>
        <w:tc>
          <w:tcPr>
            <w:tcW w:type="dxa" w:w="2160"/>
          </w:tcPr>
          <w:p>
            <w:r>
              <w:rPr>
                <w:rFonts w:ascii="Calibri" w:hAnsi="Calibri"/>
                <w:sz w:val="22"/>
              </w:rPr>
              <w:t>Jun 12, 2026</w:t>
            </w:r>
          </w:p>
        </w:tc>
        <w:tc>
          <w:tcPr>
            <w:tcW w:type="dxa" w:w="2160"/>
          </w:tcPr>
          <w:p>
            <w:r>
              <w:rPr>
                <w:rFonts w:ascii="Calibri" w:hAnsi="Calibri"/>
                <w:sz w:val="22"/>
              </w:rPr>
              <w:t>$172.51</w:t>
            </w:r>
          </w:p>
        </w:tc>
        <w:tc>
          <w:tcPr>
            <w:tcW w:type="dxa" w:w="2160"/>
          </w:tcPr>
          <w:p>
            <w:r>
              <w:rPr>
                <w:rFonts w:ascii="Calibri" w:hAnsi="Calibri"/>
                <w:sz w:val="22"/>
              </w:rPr>
              <w:t>All proposals approved; stock continues re-rating</w:t>
            </w:r>
          </w:p>
        </w:tc>
      </w:tr>
      <w:tr>
        <w:tc>
          <w:tcPr>
            <w:tcW w:type="dxa" w:w="2160"/>
          </w:tcPr>
          <w:p>
            <w:r>
              <w:rPr>
                <w:rFonts w:ascii="Calibri" w:hAnsi="Calibri"/>
                <w:sz w:val="22"/>
              </w:rPr>
              <w:t>Q2 2026 Earnings Date Announced</w:t>
            </w:r>
          </w:p>
        </w:tc>
        <w:tc>
          <w:tcPr>
            <w:tcW w:type="dxa" w:w="2160"/>
          </w:tcPr>
          <w:p>
            <w:r>
              <w:rPr>
                <w:rFonts w:ascii="Calibri" w:hAnsi="Calibri"/>
                <w:sz w:val="22"/>
              </w:rPr>
              <w:t>Jul 16, 2026</w:t>
            </w:r>
          </w:p>
        </w:tc>
        <w:tc>
          <w:tcPr>
            <w:tcW w:type="dxa" w:w="2160"/>
          </w:tcPr>
          <w:p>
            <w:r>
              <w:rPr>
                <w:rFonts w:ascii="Calibri" w:hAnsi="Calibri"/>
                <w:sz w:val="22"/>
              </w:rPr>
              <w:t>$179.85</w:t>
            </w:r>
          </w:p>
        </w:tc>
        <w:tc>
          <w:tcPr>
            <w:tcW w:type="dxa" w:w="2160"/>
          </w:tcPr>
          <w:p>
            <w:r>
              <w:rPr>
                <w:rFonts w:ascii="Calibri" w:hAnsi="Calibri"/>
                <w:sz w:val="22"/>
              </w:rPr>
              <w:t>Earnings scheduled for July 30, 2026 after market close</w:t>
            </w:r>
          </w:p>
        </w:tc>
      </w:tr>
      <w:tr>
        <w:tc>
          <w:tcPr>
            <w:tcW w:type="dxa" w:w="2160"/>
          </w:tcPr>
          <w:p>
            <w:r>
              <w:rPr>
                <w:rFonts w:ascii="Calibri" w:hAnsi="Calibri"/>
                <w:sz w:val="22"/>
              </w:rPr>
              <w:t>As of Preparation Date</w:t>
            </w:r>
          </w:p>
        </w:tc>
        <w:tc>
          <w:tcPr>
            <w:tcW w:type="dxa" w:w="2160"/>
          </w:tcPr>
          <w:p>
            <w:r>
              <w:rPr>
                <w:rFonts w:ascii="Calibri" w:hAnsi="Calibri"/>
                <w:sz w:val="22"/>
              </w:rPr>
              <w:t>Jul 29, 2026</w:t>
            </w:r>
          </w:p>
        </w:tc>
        <w:tc>
          <w:tcPr>
            <w:tcW w:type="dxa" w:w="2160"/>
          </w:tcPr>
          <w:p>
            <w:r>
              <w:rPr>
                <w:rFonts w:ascii="Calibri" w:hAnsi="Calibri"/>
                <w:sz w:val="22"/>
              </w:rPr>
              <w:t>$184.43</w:t>
            </w:r>
          </w:p>
        </w:tc>
        <w:tc>
          <w:tcPr>
            <w:tcW w:type="dxa" w:w="2160"/>
          </w:tcPr>
          <w:p>
            <w:r>
              <w:rPr>
                <w:rFonts w:ascii="Calibri" w:hAnsi="Calibri"/>
                <w:sz w:val="22"/>
              </w:rPr>
              <w:t>LYV +17.3% vs. PEJ +12.3% vs. SPY +0.8% since May 5</w:t>
            </w:r>
          </w:p>
        </w:tc>
      </w:tr>
    </w:tbl>
    <w:p>
      <w:r>
        <w:rPr>
          <w:rFonts w:ascii="Calibri" w:hAnsi="Calibri"/>
          <w:i/>
          <w:color w:val="525866"/>
          <w:sz w:val="22"/>
        </w:rPr>
        <w:t>Source: Stock Price Data (Yahoo Finance). Indexed to 100 at May 5, 2026 close. PEJ = Invesco Dynamic Leisure &amp; Entertainment ETF (selected as sector proxy for live entertainment/leisure consumer discretionary).</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closure of the EUR 610M venue securitization</w:t>
      </w:r>
      <w:r>
        <w:rPr>
          <w:rFonts w:ascii="Calibri" w:hAnsi="Calibri"/>
          <w:color w:val="525866"/>
          <w:sz w:val="22"/>
        </w:rPr>
        <w:t>, which de-risks the Venue Nation capex program and confirms the financing structure; the antitrust legal process timeline has also become clearer, reducing near-term uncertainty even as the remedies phase remains a multi-year overhang.</w:t>
      </w:r>
    </w:p>
    <w:p>
      <w:pPr>
        <w:pStyle w:val="ListBullet"/>
        <w:ind w:left="360" w:hanging="360"/>
      </w:pPr>
      <w:r>
        <w:rPr>
          <w:rFonts w:ascii="Calibri" w:hAnsi="Calibri"/>
          <w:b/>
          <w:color w:val="525866"/>
          <w:sz w:val="22"/>
        </w:rPr>
        <w:t>May 8, 2026 — Venue Securitization Closed (EUR 610M Senior Secured Notes):</w:t>
      </w:r>
      <w:r>
        <w:rPr>
          <w:rFonts w:ascii="Calibri" w:hAnsi="Calibri"/>
          <w:color w:val="525866"/>
          <w:sz w:val="22"/>
        </w:rPr>
        <w:t xml:space="preserve"> Live Nation’s subsidiary closed a EUR 610M senior secured notes offering, using owned venues as collateral in a PropCo/OpCo structure. This is the first tranche of a scalable securitization vehicle designed to fund Venue Nation expansion at lower cost without a REIT structure. </w:t>
      </w:r>
      <w:r>
        <w:rPr>
          <w:rFonts w:ascii="Calibri" w:hAnsi="Calibri"/>
          <w:i/>
          <w:color w:val="525866"/>
          <w:sz w:val="22"/>
        </w:rPr>
        <w:t>Implication:</w:t>
      </w:r>
      <w:r>
        <w:rPr>
          <w:rFonts w:ascii="Calibri" w:hAnsi="Calibri"/>
          <w:color w:val="525866"/>
          <w:sz w:val="22"/>
        </w:rPr>
        <w:t xml:space="preserve"> Confirms the financing model for the $1.1–$1.2B FY2026 capex program; reduces balance sheet risk and provides a template for future venue additions to the collateral pool.</w:t>
      </w:r>
    </w:p>
    <w:p>
      <w:pPr>
        <w:pStyle w:val="ListBullet"/>
        <w:ind w:left="360" w:hanging="360"/>
      </w:pPr>
      <w:r>
        <w:rPr>
          <w:rFonts w:ascii="Calibri" w:hAnsi="Calibri"/>
          <w:b/>
          <w:color w:val="525866"/>
          <w:sz w:val="22"/>
        </w:rPr>
        <w:t>Jun 12, 2026 — Annual Shareholder Meeting (All Proposals Approved):</w:t>
      </w:r>
      <w:r>
        <w:rPr>
          <w:rFonts w:ascii="Calibri" w:hAnsi="Calibri"/>
          <w:color w:val="525866"/>
          <w:sz w:val="22"/>
        </w:rPr>
        <w:t xml:space="preserve"> Shareholders approved all proposals at the annual meeting, including board elections. No material governance surprises. </w:t>
      </w:r>
      <w:r>
        <w:rPr>
          <w:rFonts w:ascii="Calibri" w:hAnsi="Calibri"/>
          <w:i/>
          <w:color w:val="525866"/>
          <w:sz w:val="22"/>
        </w:rPr>
        <w:t>Implication:</w:t>
      </w:r>
      <w:r>
        <w:rPr>
          <w:rFonts w:ascii="Calibri" w:hAnsi="Calibri"/>
          <w:color w:val="525866"/>
          <w:sz w:val="22"/>
        </w:rPr>
        <w:t xml:space="preserve"> Neutral; confirms board stability during the antitrust remedies phase.</w:t>
      </w:r>
    </w:p>
    <w:p>
      <w:pPr>
        <w:pStyle w:val="ListBullet"/>
        <w:ind w:left="360" w:hanging="360"/>
      </w:pPr>
      <w:r>
        <w:rPr>
          <w:rFonts w:ascii="Calibri" w:hAnsi="Calibri"/>
          <w:b/>
          <w:color w:val="525866"/>
          <w:sz w:val="22"/>
        </w:rPr>
        <w:t>Jul 16, 2026 — Q2 2026 Earnings Date Confirmed (July 30, 2026):</w:t>
      </w:r>
      <w:r>
        <w:rPr>
          <w:rFonts w:ascii="Calibri" w:hAnsi="Calibri"/>
          <w:color w:val="525866"/>
          <w:sz w:val="22"/>
        </w:rPr>
        <w:t xml:space="preserve"> Live Nation officially scheduled Q2 2026 results for July 30, 2026 after market close, with a webcast hosted by CEO Michael Rapino. </w:t>
      </w:r>
      <w:r>
        <w:rPr>
          <w:rFonts w:ascii="Calibri" w:hAnsi="Calibri"/>
          <w:i/>
          <w:color w:val="525866"/>
          <w:sz w:val="22"/>
        </w:rPr>
        <w:t>Implication:</w:t>
      </w:r>
      <w:r>
        <w:rPr>
          <w:rFonts w:ascii="Calibri" w:hAnsi="Calibri"/>
          <w:color w:val="525866"/>
          <w:sz w:val="22"/>
        </w:rPr>
        <w:t xml:space="preserve"> Confirms the reporting timeline; no pre-announcement or guidance update was issued alongside the scheduling notice, which is a mild positive signal.</w:t>
      </w:r>
    </w:p>
    <w:p>
      <w:pPr>
        <w:pStyle w:val="ListBullet"/>
        <w:ind w:left="360" w:hanging="360"/>
      </w:pPr>
      <w:r>
        <w:rPr>
          <w:rFonts w:ascii="Calibri" w:hAnsi="Calibri"/>
          <w:b/>
          <w:color w:val="525866"/>
          <w:sz w:val="22"/>
        </w:rPr>
        <w:t>May 14–20, 2026 — Investor Conference Circuit (Moffett Nathanson &amp; JP Morgan TMC):</w:t>
      </w:r>
      <w:r>
        <w:rPr>
          <w:rFonts w:ascii="Calibri" w:hAnsi="Calibri"/>
          <w:color w:val="525866"/>
          <w:sz w:val="22"/>
        </w:rPr>
        <w:t xml:space="preserve"> CFO Berchtold presented at two major sell-side conferences, explicitly rebutting ‘blue dot fever’ cancellation concerns, citing 119M tickets sold (up double-digits YoY), sell-through rates in line with prior year across all venue types, and early amphitheater per-cap spending up with no trade-down observed. </w:t>
      </w:r>
      <w:r>
        <w:rPr>
          <w:rFonts w:ascii="Calibri" w:hAnsi="Calibri"/>
          <w:i/>
          <w:color w:val="525866"/>
          <w:sz w:val="22"/>
        </w:rPr>
        <w:t>Implication:</w:t>
      </w:r>
      <w:r>
        <w:rPr>
          <w:rFonts w:ascii="Calibri" w:hAnsi="Calibri"/>
          <w:color w:val="525866"/>
          <w:sz w:val="22"/>
        </w:rPr>
        <w:t xml:space="preserve"> Management’s willingness to provide granular real-time data at conferences is a positive signal; the specificity of the rebuttal (6 cancellations cited in press vs. 50,000+ shows) suggests confidence in the demand narrative heading into peak season.</w:t>
      </w:r>
    </w:p>
    <w:p>
      <w:pPr>
        <w:pStyle w:val="ListBullet"/>
        <w:ind w:left="360" w:hanging="360"/>
      </w:pPr>
      <w:r>
        <w:rPr>
          <w:rFonts w:ascii="Calibri" w:hAnsi="Calibri"/>
          <w:b/>
          <w:color w:val="525866"/>
          <w:sz w:val="22"/>
        </w:rPr>
        <w:t>Ongoing — Antitrust Legal Process (Sequential Timeline Clarified):</w:t>
      </w:r>
      <w:r>
        <w:rPr>
          <w:rFonts w:ascii="Calibri" w:hAnsi="Calibri"/>
          <w:color w:val="525866"/>
          <w:sz w:val="22"/>
        </w:rPr>
        <w:t xml:space="preserve"> Following the April 15, 2026 state AG jury verdict (all counts), the judge confirmed a sequential process: (1) JMOL/evidence motions (briefing through July 2026), (2) Tunney Act review of DOJ settlement (judge’s ruling expected September/October 2026), (3) remedies phase (states’ proposed remedies submitted May 21, 2026; penalty phase expected to stretch into 2027). The judge has publicly stated the DOJ settlement is a ‘good framework.’ </w:t>
      </w:r>
      <w:r>
        <w:rPr>
          <w:rFonts w:ascii="Calibri" w:hAnsi="Calibri"/>
          <w:i/>
          <w:color w:val="525866"/>
          <w:sz w:val="22"/>
        </w:rPr>
        <w:t>Implication:</w:t>
      </w:r>
      <w:r>
        <w:rPr>
          <w:rFonts w:ascii="Calibri" w:hAnsi="Calibri"/>
          <w:color w:val="525866"/>
          <w:sz w:val="22"/>
        </w:rPr>
        <w:t xml:space="preserve"> The timeline clarity reduces near-term binary risk; the Tunney Act ruling (Sep/Oct 2026) is the next major legal catalyst. Ticketmaster divestiture remains a tail risk in the remedies phase but is not the base case given the DOJ settlement framework.</w:t>
      </w:r>
    </w:p>
    <w:p>
      <w:pPr>
        <w:pStyle w:val="ListBullet"/>
        <w:ind w:left="360" w:hanging="360"/>
      </w:pPr>
      <w:r>
        <w:rPr>
          <w:rFonts w:ascii="Calibri" w:hAnsi="Calibri"/>
          <w:b/>
          <w:color w:val="525866"/>
          <w:sz w:val="22"/>
        </w:rPr>
        <w:t>May 2026 — DOJ Settlement Structural Changes (2027 Implementation):</w:t>
      </w:r>
      <w:r>
        <w:rPr>
          <w:rFonts w:ascii="Calibri" w:hAnsi="Calibri"/>
          <w:color w:val="525866"/>
          <w:sz w:val="22"/>
        </w:rPr>
        <w:t xml:space="preserve"> The DOJ settlement requires: non-exclusive primary ticketing contracts, Ticketmaster back-end API access for rivals, owned amphitheaters open to third-party promoters (up to 50% of tickets via other vendors), divestiture of 13 exclusive booking agreements with non-owned amphitheaters, and service fee caps at owned amphitheaters. </w:t>
      </w:r>
      <w:r>
        <w:rPr>
          <w:rFonts w:ascii="Calibri" w:hAnsi="Calibri"/>
          <w:i/>
          <w:color w:val="525866"/>
          <w:sz w:val="22"/>
        </w:rPr>
        <w:t>Implication:</w:t>
      </w:r>
      <w:r>
        <w:rPr>
          <w:rFonts w:ascii="Calibri" w:hAnsi="Calibri"/>
          <w:color w:val="525866"/>
          <w:sz w:val="22"/>
        </w:rPr>
        <w:t xml:space="preserve"> Management views the amphitheater opening as net positive for venue economics (high per-cap contribution from venue operations). These are primarily 2027 events and do not affect Q2 2026 results.</w:t>
      </w:r>
    </w:p>
    <w:p>
      <w:r>
        <w:br w:type="page"/>
      </w:r>
    </w:p>
    <w:p>
      <w:pPr>
        <w:pStyle w:val="Heading1"/>
        <w:pBdr>
          <w:bottom w:val="single" w:sz="4" w:space="1" w:color="FB9120"/>
        </w:pBdr>
      </w:pPr>
      <w:r>
        <w:rPr>
          <w:rFonts w:ascii="Calibri" w:hAnsi="Calibri"/>
          <w:b/>
          <w:color w:val="3B4259"/>
          <w:sz w:val="40"/>
        </w:rPr>
        <w:t>7. Peer Commentary &amp; Read-Throughs (Last 60 Days)</w:t>
      </w:r>
    </w:p>
    <w:p>
      <w:r>
        <w:rPr>
          <w:rFonts w:ascii="Calibri" w:hAnsi="Calibri"/>
          <w:b/>
          <w:color w:val="525866"/>
          <w:sz w:val="22"/>
        </w:rPr>
        <w:t xml:space="preserve">Key Takeaway: </w:t>
      </w:r>
      <w:r>
        <w:rPr>
          <w:rFonts w:ascii="Calibri" w:hAnsi="Calibri"/>
          <w:color w:val="525866"/>
          <w:sz w:val="22"/>
        </w:rPr>
        <w:t xml:space="preserve">The most relevant peer read-through for LYV’s Q2 2026 print comes from </w:t>
      </w:r>
      <w:r>
        <w:rPr>
          <w:rFonts w:ascii="Calibri" w:hAnsi="Calibri"/>
          <w:b/>
          <w:color w:val="525866"/>
          <w:sz w:val="22"/>
        </w:rPr>
        <w:t>CTS Eventim’s 2026 European festival season commentary</w:t>
      </w:r>
      <w:r>
        <w:rPr>
          <w:rFonts w:ascii="Calibri" w:hAnsi="Calibri"/>
          <w:color w:val="525866"/>
          <w:sz w:val="22"/>
        </w:rPr>
        <w:t xml:space="preserve"> (July 2026), which corroborates LYV management’s demand narrative with independent evidence of strong live event attendance in Europe. Note: TKO Group (ticker TKO FP in the database) reported Q2 2026 on July 29, 2026, but is a European alternative asset manager — not the US sports/entertainment TKO — and provides no read-through to LYV.</w:t>
      </w:r>
    </w:p>
    <w:p>
      <w:r>
        <w:rPr>
          <w:rFonts w:ascii="Calibri" w:hAnsi="Calibri"/>
          <w:b/>
          <w:i/>
          <w:color w:val="525866"/>
          <w:sz w:val="22"/>
        </w:rPr>
        <w:t xml:space="preserve">Methodology Note: </w:t>
      </w:r>
      <w:r>
        <w:rPr>
          <w:rFonts w:ascii="Calibri" w:hAnsi="Calibri"/>
          <w:i/>
          <w:color w:val="525866"/>
          <w:sz w:val="22"/>
        </w:rPr>
        <w:t>Only commentary released within the last 60 days (on or after May 29, 2026) that speaks to the contemporaneous 2026 reporting period or forward outlook is included below. Retrospective prior-quarter-only commentary has been explicitly excluded.</w:t>
      </w:r>
    </w:p>
    <w:p>
      <w:pPr>
        <w:pStyle w:val="Heading2"/>
      </w:pPr>
      <w:r>
        <w:rPr>
          <w:rFonts w:ascii="Calibri" w:hAnsi="Calibri"/>
          <w:b/>
          <w:color w:val="3B4259"/>
          <w:sz w:val="28"/>
        </w:rPr>
        <w:t>CTS Eventim — 2026 European Festival Season (July 2026)</w:t>
      </w:r>
    </w:p>
    <w:p>
      <w:r>
        <w:rPr>
          <w:rFonts w:ascii="Calibri" w:hAnsi="Calibri"/>
          <w:b/>
          <w:color w:val="525866"/>
          <w:sz w:val="22"/>
        </w:rPr>
        <w:t xml:space="preserve">Relevance: </w:t>
      </w:r>
      <w:r>
        <w:rPr>
          <w:rFonts w:ascii="Calibri" w:hAnsi="Calibri"/>
          <w:color w:val="525866"/>
          <w:sz w:val="22"/>
        </w:rPr>
        <w:t xml:space="preserve">CTS Eventim is Europe’s largest ticketing and live entertainment company and LYV’s closest structural peer outside the US. Its commentary on the 2026 European festival season is a direct read-through to LYV’s international concerts and Ticketmaster segments. </w:t>
      </w:r>
      <w:r>
        <w:rPr>
          <w:rFonts w:ascii="Calibri" w:hAnsi="Calibri"/>
          <w:b/>
          <w:i/>
          <w:color w:val="525866"/>
          <w:sz w:val="22"/>
        </w:rPr>
        <w:t>Caveat: This is a narrow, non-US read-through</w:t>
      </w:r>
      <w:r>
        <w:rPr>
          <w:rFonts w:ascii="Calibri" w:hAnsi="Calibri"/>
          <w:i/>
          <w:color w:val="525866"/>
          <w:sz w:val="22"/>
        </w:rPr>
        <w:t>; CTS Eventim is not US-listed and operates primarily in European markets. LYV’s international business is growing rapidly but still represents a minority of total revenue.</w:t>
      </w:r>
    </w:p>
    <w:p>
      <w:pPr>
        <w:pStyle w:val="ListBullet"/>
        <w:ind w:left="360" w:hanging="360"/>
      </w:pPr>
      <w:r>
        <w:rPr>
          <w:rFonts w:ascii="Calibri" w:hAnsi="Calibri"/>
          <w:b/>
          <w:color w:val="525866"/>
          <w:sz w:val="22"/>
        </w:rPr>
        <w:t>July 10, 2026 — EVENTIM LIVE: ‘Outstanding Results’ for 2026 European Festival Season Opener:</w:t>
      </w:r>
      <w:r>
        <w:rPr>
          <w:rFonts w:ascii="Calibri" w:hAnsi="Calibri"/>
          <w:color w:val="525866"/>
          <w:sz w:val="22"/>
        </w:rPr>
        <w:t xml:space="preserve"> CTS Eventim’s live entertainment arm (EVENTIM LIVE) reported “outstanding results” for the first leg of the 2026 European festival season, with more than one million total attendees across its festival portfolio. The company described this as a “strong start to the 2026 festival season.” </w:t>
      </w:r>
      <w:r>
        <w:rPr>
          <w:rFonts w:ascii="Calibri" w:hAnsi="Calibri"/>
          <w:i/>
          <w:color w:val="525866"/>
          <w:sz w:val="22"/>
        </w:rPr>
        <w:t>Read-through to LYV:</w:t>
      </w:r>
      <w:r>
        <w:rPr>
          <w:rFonts w:ascii="Calibri" w:hAnsi="Calibri"/>
          <w:color w:val="525866"/>
          <w:sz w:val="22"/>
        </w:rPr>
        <w:t xml:space="preserve"> Corroborates LYV management’s assertion that international demand is “strong, maybe even stronger than America in terms of growth” (Q1 2026 earnings call). The 1M+ attendee milestone for just the first leg of the European festival season is consistent with LYV’s own commentary that Latin America and Europe are the primary international growth drivers. Positive for LYV’s international Concerts segment and Sponsorship &amp; Advertising (which is driven by brand demand to connect with global fan bases).</w:t>
      </w:r>
    </w:p>
    <w:p>
      <w:pPr>
        <w:pStyle w:val="ListBullet"/>
        <w:ind w:left="360" w:hanging="360"/>
      </w:pPr>
      <w:r>
        <w:rPr>
          <w:rFonts w:ascii="Calibri" w:hAnsi="Calibri"/>
          <w:b/>
          <w:color w:val="525866"/>
          <w:sz w:val="22"/>
        </w:rPr>
        <w:t>July 8, 2026 — EVENTIM LIVE / Vivo Concerti: Largest Concert in Italy’s History (250,000 Fans):</w:t>
      </w:r>
      <w:r>
        <w:rPr>
          <w:rFonts w:ascii="Calibri" w:hAnsi="Calibri"/>
          <w:color w:val="525866"/>
          <w:sz w:val="22"/>
        </w:rPr>
        <w:t xml:space="preserve"> Vivo Concerti (an EVENTIM LIVE company) promoted Ultimo’s Rome show, which attracted 250,000 fans — described as the largest concert in Italy’s history. </w:t>
      </w:r>
      <w:r>
        <w:rPr>
          <w:rFonts w:ascii="Calibri" w:hAnsi="Calibri"/>
          <w:i/>
          <w:color w:val="525866"/>
          <w:sz w:val="22"/>
        </w:rPr>
        <w:t>Read-through to LYV:</w:t>
      </w:r>
      <w:r>
        <w:rPr>
          <w:rFonts w:ascii="Calibri" w:hAnsi="Calibri"/>
          <w:color w:val="525866"/>
          <w:sz w:val="22"/>
        </w:rPr>
        <w:t xml:space="preserve"> Demonstrates that European consumers are willing to attend very large-scale live events in 2026, directly contradicting the ‘blue dot fever’ demand-softness narrative. LYV operates in Italy through its international concerts business and has been expanding its European festival and arena footprint. The scale of this event (250K fans) is consistent with LYV’s own stadium-scale demand commentary.</w:t>
      </w:r>
    </w:p>
    <w:p>
      <w:pPr>
        <w:pStyle w:val="ListBullet"/>
        <w:ind w:left="360" w:hanging="360"/>
      </w:pPr>
      <w:r>
        <w:rPr>
          <w:rFonts w:ascii="Calibri" w:hAnsi="Calibri"/>
          <w:b/>
          <w:color w:val="525866"/>
          <w:sz w:val="22"/>
        </w:rPr>
        <w:t>May 28, 2026 — CTS Eventim Q1 2026 Interim Statement: ‘Continues on Growth Course’:</w:t>
      </w:r>
      <w:r>
        <w:rPr>
          <w:rFonts w:ascii="Calibri" w:hAnsi="Calibri"/>
          <w:color w:val="525866"/>
          <w:sz w:val="22"/>
        </w:rPr>
        <w:t xml:space="preserve"> CTS Eventim’s Q1 2026 interim statement confirmed the company “continues on its growth course in the first quarter of 2026,” with live entertainment performing “particularly strongly” and ticketing volume up approximately 6% YoY. </w:t>
      </w:r>
      <w:r>
        <w:rPr>
          <w:rFonts w:ascii="Calibri" w:hAnsi="Calibri"/>
          <w:i/>
          <w:color w:val="525866"/>
          <w:sz w:val="22"/>
        </w:rPr>
        <w:t>Read-through to LYV:</w:t>
      </w:r>
      <w:r>
        <w:rPr>
          <w:rFonts w:ascii="Calibri" w:hAnsi="Calibri"/>
          <w:color w:val="525866"/>
          <w:sz w:val="22"/>
        </w:rPr>
        <w:t xml:space="preserve"> The Q1 2026 growth confirmation from Europe’s largest ticketing platform is a positive leading indicator for LYV’s Ticketmaster international segment. CTS Eventim’s ticketing volume growth of ~6% YoY is directionally consistent with LYV’s own fee-bearing ticket volume guidance of mid-single-digit growth for FY2026. Note: this commentary was released May 28, 2026 and speaks to Q1 2026 performance and the 2026 forward outlook — it is included as a forward-looking read-through, not a retrospective prior-quarter commentary.</w:t>
      </w:r>
    </w:p>
    <w:p>
      <w:pPr>
        <w:pStyle w:val="Heading2"/>
      </w:pPr>
      <w:r>
        <w:rPr>
          <w:rFonts w:ascii="Calibri" w:hAnsi="Calibri"/>
          <w:b/>
          <w:color w:val="3B4259"/>
          <w:sz w:val="28"/>
        </w:rPr>
        <w:t>LYV Management Post-Q1 Conference Commentary (May 2026)</w:t>
      </w:r>
    </w:p>
    <w:p>
      <w:r>
        <w:rPr>
          <w:rFonts w:ascii="Calibri" w:hAnsi="Calibri"/>
          <w:b/>
          <w:color w:val="525866"/>
          <w:sz w:val="22"/>
        </w:rPr>
        <w:t xml:space="preserve">Note: </w:t>
      </w:r>
      <w:r>
        <w:rPr>
          <w:rFonts w:ascii="Calibri" w:hAnsi="Calibri"/>
          <w:i/>
          <w:color w:val="525866"/>
          <w:sz w:val="22"/>
        </w:rPr>
        <w:t>The following is LYV management’s own forward-looking commentary from investor conferences held after the Q1 2026 earnings call. While not a ‘peer’ read-through, it is included here as the most relevant contemporaneous commentary on Q2 2026 and the 2026 season outlook.</w:t>
      </w:r>
    </w:p>
    <w:p>
      <w:pPr>
        <w:pStyle w:val="ListBullet"/>
        <w:ind w:left="360" w:hanging="360"/>
      </w:pPr>
      <w:r>
        <w:rPr>
          <w:rFonts w:ascii="Calibri" w:hAnsi="Calibri"/>
          <w:b/>
          <w:color w:val="525866"/>
          <w:sz w:val="22"/>
        </w:rPr>
        <w:t>May 14, 2026 — Moffett Nathanson Conference (CFO Berchtold):</w:t>
      </w:r>
      <w:r>
        <w:rPr>
          <w:rFonts w:ascii="Calibri" w:hAnsi="Calibri"/>
          <w:color w:val="525866"/>
          <w:sz w:val="22"/>
        </w:rPr>
        <w:t xml:space="preserve"> Deferred revenue on both concerts and ticketing “pacing north of 20% up” for all live events (not just concerts). Average entry-level ticket price up less than 3% YoY (below inflation). Sell-through rates across amphitheaters, arenas, and stadiums “all doing as well as they were last year.” Cancellation rates “running probably same or a little better than last year.” Per-cap spending identified as the “biggest unknown” for H2. Venue Nation long-term target: 48 venues in 5 years, $600M AOI run rate by 2032.</w:t>
      </w:r>
    </w:p>
    <w:p>
      <w:pPr>
        <w:pStyle w:val="ListBullet"/>
        <w:ind w:left="360" w:hanging="360"/>
      </w:pPr>
      <w:r>
        <w:rPr>
          <w:rFonts w:ascii="Calibri" w:hAnsi="Calibri"/>
          <w:b/>
          <w:color w:val="525866"/>
          <w:sz w:val="22"/>
        </w:rPr>
        <w:t>May 20, 2026 — JP Morgan TMC Conference (CFO Berchtold):</w:t>
      </w:r>
      <w:r>
        <w:rPr>
          <w:rFonts w:ascii="Calibri" w:hAnsi="Calibri"/>
          <w:color w:val="525866"/>
          <w:sz w:val="22"/>
        </w:rPr>
        <w:t xml:space="preserve"> 119 million tickets sold as of late May (up from 107M at Q1 earnings), with 11.5M tickets sold in the prior 3 weeks — more than the same period last year. Double-digit ticket sales growth across stadiums, arenas, and amphitheaters. Average get-in price $34–35 in the US, up ~18% from 2019 vs. inflation up 30%. Early amphitheater per-cap spending up; no trade-down observed; premium alcohol performing well. Ticketmaster expected to have “a strong year” driven by concert volume.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print is dominated by routine tax-withholding disposals (Form 4 code ‘F’) and option exercises — no open-market discretionary buys or sells stand out. The June 11 cluster of director stock awards (code ‘A’) is standard annual compensation. </w:t>
      </w:r>
      <w:r>
        <w:rPr>
          <w:rFonts w:ascii="Calibri" w:hAnsi="Calibri"/>
          <w:b/>
          <w:color w:val="525866"/>
          <w:sz w:val="22"/>
        </w:rPr>
        <w:t>No unusual insider selling or buying signals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Hopmans, John</w:t>
            </w:r>
          </w:p>
        </w:tc>
        <w:tc>
          <w:tcPr>
            <w:tcW w:type="dxa" w:w="1440"/>
          </w:tcPr>
          <w:p>
            <w:r>
              <w:rPr>
                <w:rFonts w:ascii="Calibri" w:hAnsi="Calibri"/>
                <w:sz w:val="22"/>
              </w:rPr>
              <w:t>EVP, M&amp;A &amp; Strategic Finance</w:t>
            </w:r>
          </w:p>
        </w:tc>
        <w:tc>
          <w:tcPr>
            <w:tcW w:type="dxa" w:w="1440"/>
          </w:tcPr>
          <w:p>
            <w:r>
              <w:rPr>
                <w:rFonts w:ascii="Calibri" w:hAnsi="Calibri"/>
                <w:sz w:val="22"/>
              </w:rPr>
              <w:t>Tax Withholding (F)</w:t>
            </w:r>
          </w:p>
        </w:tc>
        <w:tc>
          <w:tcPr>
            <w:tcW w:type="dxa" w:w="1440"/>
          </w:tcPr>
          <w:p>
            <w:r>
              <w:rPr>
                <w:rFonts w:ascii="Calibri" w:hAnsi="Calibri"/>
                <w:sz w:val="22"/>
              </w:rPr>
              <w:t>6,083 shares</w:t>
            </w:r>
          </w:p>
        </w:tc>
        <w:tc>
          <w:tcPr>
            <w:tcW w:type="dxa" w:w="1440"/>
          </w:tcPr>
          <w:p>
            <w:r>
              <w:rPr>
                <w:rFonts w:ascii="Calibri" w:hAnsi="Calibri"/>
                <w:sz w:val="22"/>
              </w:rPr>
              <w:t>Jul 11, 2026</w:t>
            </w:r>
          </w:p>
        </w:tc>
        <w:tc>
          <w:tcPr>
            <w:tcW w:type="dxa" w:w="1440"/>
          </w:tcPr>
          <w:p>
            <w:r>
              <w:rPr>
                <w:rFonts w:ascii="Calibri" w:hAnsi="Calibri"/>
                <w:sz w:val="22"/>
              </w:rPr>
              <w:t>Routine tax withholding on vesting; not discretionary</w:t>
            </w:r>
          </w:p>
        </w:tc>
      </w:tr>
      <w:tr>
        <w:tc>
          <w:tcPr>
            <w:tcW w:type="dxa" w:w="1440"/>
          </w:tcPr>
          <w:p>
            <w:r>
              <w:rPr>
                <w:rFonts w:ascii="Calibri" w:hAnsi="Calibri"/>
                <w:sz w:val="22"/>
              </w:rPr>
              <w:t>Hinson, Jeffrey T.</w:t>
            </w:r>
          </w:p>
        </w:tc>
        <w:tc>
          <w:tcPr>
            <w:tcW w:type="dxa" w:w="1440"/>
          </w:tcPr>
          <w:p>
            <w:r>
              <w:rPr>
                <w:rFonts w:ascii="Calibri" w:hAnsi="Calibri"/>
                <w:sz w:val="22"/>
              </w:rPr>
              <w:t>Director</w:t>
            </w:r>
          </w:p>
        </w:tc>
        <w:tc>
          <w:tcPr>
            <w:tcW w:type="dxa" w:w="1440"/>
          </w:tcPr>
          <w:p>
            <w:r>
              <w:rPr>
                <w:rFonts w:ascii="Calibri" w:hAnsi="Calibri"/>
                <w:sz w:val="22"/>
              </w:rPr>
              <w:t>Open Market Sale (S)</w:t>
            </w:r>
          </w:p>
        </w:tc>
        <w:tc>
          <w:tcPr>
            <w:tcW w:type="dxa" w:w="1440"/>
          </w:tcPr>
          <w:p>
            <w:r>
              <w:rPr>
                <w:rFonts w:ascii="Calibri" w:hAnsi="Calibri"/>
                <w:sz w:val="22"/>
              </w:rPr>
              <w:t>2,115 shares</w:t>
            </w:r>
          </w:p>
        </w:tc>
        <w:tc>
          <w:tcPr>
            <w:tcW w:type="dxa" w:w="1440"/>
          </w:tcPr>
          <w:p>
            <w:r>
              <w:rPr>
                <w:rFonts w:ascii="Calibri" w:hAnsi="Calibri"/>
                <w:sz w:val="22"/>
              </w:rPr>
              <w:t>Jun 15, 2026</w:t>
            </w:r>
          </w:p>
        </w:tc>
        <w:tc>
          <w:tcPr>
            <w:tcW w:type="dxa" w:w="1440"/>
          </w:tcPr>
          <w:p>
            <w:r>
              <w:rPr>
                <w:rFonts w:ascii="Calibri" w:hAnsi="Calibri"/>
                <w:sz w:val="22"/>
              </w:rPr>
              <w:t>Small discretionary sale; not flagged as 10b5-1; modest size relative to 47,122 shares held</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Stock Award (A)</w:t>
            </w:r>
          </w:p>
        </w:tc>
        <w:tc>
          <w:tcPr>
            <w:tcW w:type="dxa" w:w="1440"/>
          </w:tcPr>
          <w:p>
            <w:r>
              <w:rPr>
                <w:rFonts w:ascii="Calibri" w:hAnsi="Calibri"/>
                <w:sz w:val="22"/>
              </w:rPr>
              <w:t>1,207–2,293 shares each</w:t>
            </w:r>
          </w:p>
        </w:tc>
        <w:tc>
          <w:tcPr>
            <w:tcW w:type="dxa" w:w="1440"/>
          </w:tcPr>
          <w:p>
            <w:r>
              <w:rPr>
                <w:rFonts w:ascii="Calibri" w:hAnsi="Calibri"/>
                <w:sz w:val="22"/>
              </w:rPr>
              <w:t>Jun 11, 2026</w:t>
            </w:r>
          </w:p>
        </w:tc>
        <w:tc>
          <w:tcPr>
            <w:tcW w:type="dxa" w:w="1440"/>
          </w:tcPr>
          <w:p>
            <w:r>
              <w:rPr>
                <w:rFonts w:ascii="Calibri" w:hAnsi="Calibri"/>
                <w:sz w:val="22"/>
              </w:rPr>
              <w:t>Annual director compensation awards; routine; not open-market transactions</w:t>
            </w:r>
          </w:p>
        </w:tc>
      </w:tr>
      <w:tr>
        <w:tc>
          <w:tcPr>
            <w:tcW w:type="dxa" w:w="1440"/>
          </w:tcPr>
          <w:p>
            <w:r>
              <w:rPr>
                <w:rFonts w:ascii="Calibri" w:hAnsi="Calibri"/>
                <w:sz w:val="22"/>
              </w:rPr>
              <w:t>Berchtold, Joe</w:t>
            </w:r>
          </w:p>
        </w:tc>
        <w:tc>
          <w:tcPr>
            <w:tcW w:type="dxa" w:w="1440"/>
          </w:tcPr>
          <w:p>
            <w:r>
              <w:rPr>
                <w:rFonts w:ascii="Calibri" w:hAnsi="Calibri"/>
                <w:sz w:val="22"/>
              </w:rPr>
              <w:t>President &amp; CFO</w:t>
            </w:r>
          </w:p>
        </w:tc>
        <w:tc>
          <w:tcPr>
            <w:tcW w:type="dxa" w:w="1440"/>
          </w:tcPr>
          <w:p>
            <w:r>
              <w:rPr>
                <w:rFonts w:ascii="Calibri" w:hAnsi="Calibri"/>
                <w:sz w:val="22"/>
              </w:rPr>
              <w:t>Tax Withholding (F)</w:t>
            </w:r>
          </w:p>
        </w:tc>
        <w:tc>
          <w:tcPr>
            <w:tcW w:type="dxa" w:w="1440"/>
          </w:tcPr>
          <w:p>
            <w:r>
              <w:rPr>
                <w:rFonts w:ascii="Calibri" w:hAnsi="Calibri"/>
                <w:sz w:val="22"/>
              </w:rPr>
              <w:t>16,603 shares</w:t>
            </w:r>
          </w:p>
        </w:tc>
        <w:tc>
          <w:tcPr>
            <w:tcW w:type="dxa" w:w="1440"/>
          </w:tcPr>
          <w:p>
            <w:r>
              <w:rPr>
                <w:rFonts w:ascii="Calibri" w:hAnsi="Calibri"/>
                <w:sz w:val="22"/>
              </w:rPr>
              <w:t>May 22, 2026</w:t>
            </w:r>
          </w:p>
        </w:tc>
        <w:tc>
          <w:tcPr>
            <w:tcW w:type="dxa" w:w="1440"/>
          </w:tcPr>
          <w:p>
            <w:r>
              <w:rPr>
                <w:rFonts w:ascii="Calibri" w:hAnsi="Calibri"/>
                <w:sz w:val="22"/>
              </w:rPr>
              <w:t>Routine tax withholding on vesting; not discretionary; 912,451 shares held post-transaction</w:t>
            </w:r>
          </w:p>
        </w:tc>
      </w:tr>
      <w:tr>
        <w:tc>
          <w:tcPr>
            <w:tcW w:type="dxa" w:w="1440"/>
          </w:tcPr>
          <w:p>
            <w:r>
              <w:rPr>
                <w:rFonts w:ascii="Calibri" w:hAnsi="Calibri"/>
                <w:sz w:val="22"/>
              </w:rPr>
              <w:t>Rowles, Michael</w:t>
            </w:r>
          </w:p>
        </w:tc>
        <w:tc>
          <w:tcPr>
            <w:tcW w:type="dxa" w:w="1440"/>
          </w:tcPr>
          <w:p>
            <w:r>
              <w:rPr>
                <w:rFonts w:ascii="Calibri" w:hAnsi="Calibri"/>
                <w:sz w:val="22"/>
              </w:rPr>
              <w:t>EVP &amp; General Counsel</w:t>
            </w:r>
          </w:p>
        </w:tc>
        <w:tc>
          <w:tcPr>
            <w:tcW w:type="dxa" w:w="1440"/>
          </w:tcPr>
          <w:p>
            <w:r>
              <w:rPr>
                <w:rFonts w:ascii="Calibri" w:hAnsi="Calibri"/>
                <w:sz w:val="22"/>
              </w:rPr>
              <w:t>Tax Withholding (F)</w:t>
            </w:r>
          </w:p>
        </w:tc>
        <w:tc>
          <w:tcPr>
            <w:tcW w:type="dxa" w:w="1440"/>
          </w:tcPr>
          <w:p>
            <w:r>
              <w:rPr>
                <w:rFonts w:ascii="Calibri" w:hAnsi="Calibri"/>
                <w:sz w:val="22"/>
              </w:rPr>
              <w:t>1,661 shares</w:t>
            </w:r>
          </w:p>
        </w:tc>
        <w:tc>
          <w:tcPr>
            <w:tcW w:type="dxa" w:w="1440"/>
          </w:tcPr>
          <w:p>
            <w:r>
              <w:rPr>
                <w:rFonts w:ascii="Calibri" w:hAnsi="Calibri"/>
                <w:sz w:val="22"/>
              </w:rPr>
              <w:t>May 22, 2026</w:t>
            </w:r>
          </w:p>
        </w:tc>
        <w:tc>
          <w:tcPr>
            <w:tcW w:type="dxa" w:w="1440"/>
          </w:tcPr>
          <w:p>
            <w:r>
              <w:rPr>
                <w:rFonts w:ascii="Calibri" w:hAnsi="Calibri"/>
                <w:sz w:val="22"/>
              </w:rPr>
              <w:t>Routine tax withholding on vesting; not discretionary</w:t>
            </w:r>
          </w:p>
        </w:tc>
      </w:tr>
      <w:tr>
        <w:tc>
          <w:tcPr>
            <w:tcW w:type="dxa" w:w="1440"/>
          </w:tcPr>
          <w:p>
            <w:r>
              <w:rPr>
                <w:rFonts w:ascii="Calibri" w:hAnsi="Calibri"/>
                <w:sz w:val="22"/>
              </w:rPr>
              <w:t>Berchtold, Joe</w:t>
            </w:r>
          </w:p>
        </w:tc>
        <w:tc>
          <w:tcPr>
            <w:tcW w:type="dxa" w:w="1440"/>
          </w:tcPr>
          <w:p>
            <w:r>
              <w:rPr>
                <w:rFonts w:ascii="Calibri" w:hAnsi="Calibri"/>
                <w:sz w:val="22"/>
              </w:rPr>
              <w:t>President &amp; CFO</w:t>
            </w:r>
          </w:p>
        </w:tc>
        <w:tc>
          <w:tcPr>
            <w:tcW w:type="dxa" w:w="1440"/>
          </w:tcPr>
          <w:p>
            <w:r>
              <w:rPr>
                <w:rFonts w:ascii="Calibri" w:hAnsi="Calibri"/>
                <w:sz w:val="22"/>
              </w:rPr>
              <w:t>Tax Withholding (F)</w:t>
            </w:r>
          </w:p>
        </w:tc>
        <w:tc>
          <w:tcPr>
            <w:tcW w:type="dxa" w:w="1440"/>
          </w:tcPr>
          <w:p>
            <w:r>
              <w:rPr>
                <w:rFonts w:ascii="Calibri" w:hAnsi="Calibri"/>
                <w:sz w:val="22"/>
              </w:rPr>
              <w:t>11,643 shares</w:t>
            </w:r>
          </w:p>
        </w:tc>
        <w:tc>
          <w:tcPr>
            <w:tcW w:type="dxa" w:w="1440"/>
          </w:tcPr>
          <w:p>
            <w:r>
              <w:rPr>
                <w:rFonts w:ascii="Calibri" w:hAnsi="Calibri"/>
                <w:sz w:val="22"/>
              </w:rPr>
              <w:t>May 13, 2026</w:t>
            </w:r>
          </w:p>
        </w:tc>
        <w:tc>
          <w:tcPr>
            <w:tcW w:type="dxa" w:w="1440"/>
          </w:tcPr>
          <w:p>
            <w:r>
              <w:rPr>
                <w:rFonts w:ascii="Calibri" w:hAnsi="Calibri"/>
                <w:sz w:val="22"/>
              </w:rPr>
              <w:t>Routine tax withholding on vesting; not discretionary</w:t>
            </w:r>
          </w:p>
        </w:tc>
      </w:tr>
      <w:tr>
        <w:tc>
          <w:tcPr>
            <w:tcW w:type="dxa" w:w="1440"/>
          </w:tcPr>
          <w:p>
            <w:r>
              <w:rPr>
                <w:rFonts w:ascii="Calibri" w:hAnsi="Calibri"/>
                <w:sz w:val="22"/>
              </w:rPr>
              <w:t>Rapino, Michael</w:t>
            </w:r>
          </w:p>
        </w:tc>
        <w:tc>
          <w:tcPr>
            <w:tcW w:type="dxa" w:w="1440"/>
          </w:tcPr>
          <w:p>
            <w:r>
              <w:rPr>
                <w:rFonts w:ascii="Calibri" w:hAnsi="Calibri"/>
                <w:sz w:val="22"/>
              </w:rPr>
              <w:t>President &amp; CEO, Director</w:t>
            </w:r>
          </w:p>
        </w:tc>
        <w:tc>
          <w:tcPr>
            <w:tcW w:type="dxa" w:w="1440"/>
          </w:tcPr>
          <w:p>
            <w:r>
              <w:rPr>
                <w:rFonts w:ascii="Calibri" w:hAnsi="Calibri"/>
                <w:sz w:val="22"/>
              </w:rPr>
              <w:t>Tax Withholding (F)</w:t>
            </w:r>
          </w:p>
        </w:tc>
        <w:tc>
          <w:tcPr>
            <w:tcW w:type="dxa" w:w="1440"/>
          </w:tcPr>
          <w:p>
            <w:r>
              <w:rPr>
                <w:rFonts w:ascii="Calibri" w:hAnsi="Calibri"/>
                <w:sz w:val="22"/>
              </w:rPr>
              <w:t>17,464 shares</w:t>
            </w:r>
          </w:p>
        </w:tc>
        <w:tc>
          <w:tcPr>
            <w:tcW w:type="dxa" w:w="1440"/>
          </w:tcPr>
          <w:p>
            <w:r>
              <w:rPr>
                <w:rFonts w:ascii="Calibri" w:hAnsi="Calibri"/>
                <w:sz w:val="22"/>
              </w:rPr>
              <w:t>May 13, 2026</w:t>
            </w:r>
          </w:p>
        </w:tc>
        <w:tc>
          <w:tcPr>
            <w:tcW w:type="dxa" w:w="1440"/>
          </w:tcPr>
          <w:p>
            <w:r>
              <w:rPr>
                <w:rFonts w:ascii="Calibri" w:hAnsi="Calibri"/>
                <w:sz w:val="22"/>
              </w:rPr>
              <w:t>Routine tax withholding on vesting; not discretionary; 4.2M shares held post-transaction</w:t>
            </w:r>
          </w:p>
        </w:tc>
      </w:tr>
      <w:tr>
        <w:tc>
          <w:tcPr>
            <w:tcW w:type="dxa" w:w="1440"/>
          </w:tcPr>
          <w:p>
            <w:r>
              <w:rPr>
                <w:rFonts w:ascii="Calibri" w:hAnsi="Calibri"/>
                <w:sz w:val="22"/>
              </w:rPr>
              <w:t>Hopmans, John</w:t>
            </w:r>
          </w:p>
        </w:tc>
        <w:tc>
          <w:tcPr>
            <w:tcW w:type="dxa" w:w="1440"/>
          </w:tcPr>
          <w:p>
            <w:r>
              <w:rPr>
                <w:rFonts w:ascii="Calibri" w:hAnsi="Calibri"/>
                <w:sz w:val="22"/>
              </w:rPr>
              <w:t>EVP, M&amp;A &amp; Strategic Finance</w:t>
            </w:r>
          </w:p>
        </w:tc>
        <w:tc>
          <w:tcPr>
            <w:tcW w:type="dxa" w:w="1440"/>
          </w:tcPr>
          <w:p>
            <w:r>
              <w:rPr>
                <w:rFonts w:ascii="Calibri" w:hAnsi="Calibri"/>
                <w:sz w:val="22"/>
              </w:rPr>
              <w:t>Option Exercise + Open Market Sale (M/S)</w:t>
            </w:r>
          </w:p>
        </w:tc>
        <w:tc>
          <w:tcPr>
            <w:tcW w:type="dxa" w:w="1440"/>
          </w:tcPr>
          <w:p>
            <w:r>
              <w:rPr>
                <w:rFonts w:ascii="Calibri" w:hAnsi="Calibri"/>
                <w:sz w:val="22"/>
              </w:rPr>
              <w:t>83,480 exercised; 93,078 sold</w:t>
            </w:r>
          </w:p>
        </w:tc>
        <w:tc>
          <w:tcPr>
            <w:tcW w:type="dxa" w:w="1440"/>
          </w:tcPr>
          <w:p>
            <w:r>
              <w:rPr>
                <w:rFonts w:ascii="Calibri" w:hAnsi="Calibri"/>
                <w:sz w:val="22"/>
              </w:rPr>
              <w:t>May 7, 2026</w:t>
            </w:r>
          </w:p>
        </w:tc>
        <w:tc>
          <w:tcPr>
            <w:tcW w:type="dxa" w:w="1440"/>
          </w:tcPr>
          <w:p>
            <w:r>
              <w:rPr>
                <w:rFonts w:ascii="Calibri" w:hAnsi="Calibri"/>
                <w:sz w:val="22"/>
              </w:rPr>
              <w:t>Exercise-and-sell of stock options; net sale of ~9,598 shares above exercise; routine option monetization</w:t>
            </w:r>
          </w:p>
        </w:tc>
      </w:tr>
      <w:tr>
        <w:tc>
          <w:tcPr>
            <w:tcW w:type="dxa" w:w="1440"/>
          </w:tcPr>
          <w:p>
            <w:r>
              <w:rPr>
                <w:rFonts w:ascii="Calibri" w:hAnsi="Calibri"/>
                <w:sz w:val="22"/>
              </w:rPr>
              <w:t>Rowles, Michael</w:t>
            </w:r>
          </w:p>
        </w:tc>
        <w:tc>
          <w:tcPr>
            <w:tcW w:type="dxa" w:w="1440"/>
          </w:tcPr>
          <w:p>
            <w:r>
              <w:rPr>
                <w:rFonts w:ascii="Calibri" w:hAnsi="Calibri"/>
                <w:sz w:val="22"/>
              </w:rPr>
              <w:t>EVP &amp; General Counsel</w:t>
            </w:r>
          </w:p>
        </w:tc>
        <w:tc>
          <w:tcPr>
            <w:tcW w:type="dxa" w:w="1440"/>
          </w:tcPr>
          <w:p>
            <w:r>
              <w:rPr>
                <w:rFonts w:ascii="Calibri" w:hAnsi="Calibri"/>
                <w:sz w:val="22"/>
              </w:rPr>
              <w:t>Option Exercise + Open Market Sale (M/S)</w:t>
            </w:r>
          </w:p>
        </w:tc>
        <w:tc>
          <w:tcPr>
            <w:tcW w:type="dxa" w:w="1440"/>
          </w:tcPr>
          <w:p>
            <w:r>
              <w:rPr>
                <w:rFonts w:ascii="Calibri" w:hAnsi="Calibri"/>
                <w:sz w:val="22"/>
              </w:rPr>
              <w:t>63,776 exercised; 63,776 sold</w:t>
            </w:r>
          </w:p>
        </w:tc>
        <w:tc>
          <w:tcPr>
            <w:tcW w:type="dxa" w:w="1440"/>
          </w:tcPr>
          <w:p>
            <w:r>
              <w:rPr>
                <w:rFonts w:ascii="Calibri" w:hAnsi="Calibri"/>
                <w:sz w:val="22"/>
              </w:rPr>
              <w:t>May 8, 2026</w:t>
            </w:r>
          </w:p>
        </w:tc>
        <w:tc>
          <w:tcPr>
            <w:tcW w:type="dxa" w:w="1440"/>
          </w:tcPr>
          <w:p>
            <w:r>
              <w:rPr>
                <w:rFonts w:ascii="Calibri" w:hAnsi="Calibri"/>
                <w:sz w:val="22"/>
              </w:rPr>
              <w:t>Cashless exercise-and-sell; routine option monetization; no net new shares retained</w:t>
            </w:r>
          </w:p>
        </w:tc>
      </w:tr>
    </w:tbl>
    <w:p>
      <w:r>
        <w:rPr>
          <w:rFonts w:ascii="Calibri" w:hAnsi="Calibri"/>
          <w:i/>
          <w:color w:val="525866"/>
          <w:sz w:val="22"/>
        </w:rPr>
        <w:t>Source: SEC Form 4 filings via Insider Transaction Data (SEC EDGAR). Open-market buys (code P) and discretionary sells (code S) only flagged for signal; tax withholding (F) and stock awards (A) are non-discretionary. No open-market buys were filed in the period.</w:t>
      </w:r>
    </w:p>
    <w:p>
      <w:r>
        <w:br w:type="page"/>
      </w:r>
    </w:p>
    <w:p>
      <w:pPr>
        <w:pStyle w:val="Heading1"/>
        <w:pBdr>
          <w:bottom w:val="single" w:sz="4" w:space="1" w:color="FB9120"/>
        </w:pBdr>
      </w:pPr>
      <w:r>
        <w:rPr>
          <w:rFonts w:ascii="Calibri" w:hAnsi="Calibri"/>
          <w:b/>
          <w:color w:val="3B4259"/>
          <w:sz w:val="40"/>
        </w:rPr>
        <w:t>9. Key Risks</w:t>
      </w:r>
    </w:p>
    <w:p>
      <w:r>
        <w:rPr>
          <w:rFonts w:ascii="Calibri" w:hAnsi="Calibri"/>
          <w:b/>
          <w:color w:val="525866"/>
          <w:sz w:val="22"/>
        </w:rPr>
        <w:t xml:space="preserve">Key Takeaway: </w:t>
      </w:r>
      <w:r>
        <w:rPr>
          <w:rFonts w:ascii="Calibri" w:hAnsi="Calibri"/>
          <w:color w:val="525866"/>
          <w:sz w:val="22"/>
        </w:rPr>
        <w:t>The risk profile is asymmetric — the upside is well-telegraphed (record deferred revenue, double-digit ticket sales growth) while the downside risks are concentrated in two areas: the antitrust remedies phase (structural/long-term) and amphitheater per-cap spending (near-term/Q3 read-through).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Risk</w:t>
            </w:r>
          </w:p>
        </w:tc>
        <w:tc>
          <w:tcPr>
            <w:tcW w:type="dxa" w:w="1728"/>
            <w:shd w:val="clear" w:color="auto" w:fill="3B4259"/>
          </w:tcPr>
          <w:p>
            <w:r>
              <w:rPr>
                <w:rFonts w:ascii="Calibri" w:hAnsi="Calibri"/>
                <w:b/>
                <w:color w:val="FFFFFF"/>
                <w:sz w:val="22"/>
              </w:rPr>
              <w:t>Description</w:t>
            </w:r>
          </w:p>
        </w:tc>
        <w:tc>
          <w:tcPr>
            <w:tcW w:type="dxa" w:w="1728"/>
            <w:shd w:val="clear" w:color="auto" w:fill="3B4259"/>
          </w:tcPr>
          <w:p>
            <w:r>
              <w:rPr>
                <w:rFonts w:ascii="Calibri" w:hAnsi="Calibri"/>
                <w:b/>
                <w:color w:val="FFFFFF"/>
                <w:sz w:val="22"/>
              </w:rPr>
              <w:t>Probability</w:t>
            </w:r>
          </w:p>
        </w:tc>
        <w:tc>
          <w:tcPr>
            <w:tcW w:type="dxa" w:w="1728"/>
            <w:shd w:val="clear" w:color="auto" w:fill="3B4259"/>
          </w:tcPr>
          <w:p>
            <w:r>
              <w:rPr>
                <w:rFonts w:ascii="Calibri" w:hAnsi="Calibri"/>
                <w:b/>
                <w:color w:val="FFFFFF"/>
                <w:sz w:val="22"/>
              </w:rPr>
              <w:t>Impact</w:t>
            </w:r>
          </w:p>
        </w:tc>
        <w:tc>
          <w:tcPr>
            <w:tcW w:type="dxa" w:w="1728"/>
            <w:shd w:val="clear" w:color="auto" w:fill="3B4259"/>
          </w:tcPr>
          <w:p>
            <w:r>
              <w:rPr>
                <w:rFonts w:ascii="Calibri" w:hAnsi="Calibri"/>
                <w:b/>
                <w:color w:val="FFFFFF"/>
                <w:sz w:val="22"/>
              </w:rPr>
              <w:t>Timing</w:t>
            </w:r>
          </w:p>
        </w:tc>
      </w:tr>
      <w:tr>
        <w:tc>
          <w:tcPr>
            <w:tcW w:type="dxa" w:w="1728"/>
          </w:tcPr>
          <w:p>
            <w:r>
              <w:rPr>
                <w:rFonts w:ascii="Calibri" w:hAnsi="Calibri"/>
                <w:sz w:val="22"/>
              </w:rPr>
              <w:t>Antitrust Remedies Phase — Ticketmaster Divestiture</w:t>
            </w:r>
          </w:p>
        </w:tc>
        <w:tc>
          <w:tcPr>
            <w:tcW w:type="dxa" w:w="1728"/>
          </w:tcPr>
          <w:p>
            <w:r>
              <w:rPr>
                <w:rFonts w:ascii="Calibri" w:hAnsi="Calibri"/>
                <w:sz w:val="22"/>
              </w:rPr>
              <w:t>State AGs continue to seek Ticketmaster divestiture in the remedies phase. While the DOJ settlement (no divestiture) is the judge’s stated ‘good framework,’ the states’ proposed remedies (submitted May 21, 2026) could include structural separation. Penalty phase expected to stretch into 2027.</w:t>
            </w:r>
          </w:p>
        </w:tc>
        <w:tc>
          <w:tcPr>
            <w:tcW w:type="dxa" w:w="1728"/>
          </w:tcPr>
          <w:p>
            <w:r>
              <w:rPr>
                <w:rFonts w:ascii="Calibri" w:hAnsi="Calibri"/>
                <w:sz w:val="22"/>
              </w:rPr>
              <w:t>Low-Medium (tail risk; judge has signaled DOJ framework preference)</w:t>
            </w:r>
          </w:p>
        </w:tc>
        <w:tc>
          <w:tcPr>
            <w:tcW w:type="dxa" w:w="1728"/>
          </w:tcPr>
          <w:p>
            <w:r>
              <w:rPr>
                <w:rFonts w:ascii="Calibri" w:hAnsi="Calibri"/>
                <w:sz w:val="22"/>
              </w:rPr>
              <w:t>Very High (existential for Ticketmaster segment if ordered)</w:t>
            </w:r>
          </w:p>
        </w:tc>
        <w:tc>
          <w:tcPr>
            <w:tcW w:type="dxa" w:w="1728"/>
          </w:tcPr>
          <w:p>
            <w:r>
              <w:rPr>
                <w:rFonts w:ascii="Calibri" w:hAnsi="Calibri"/>
                <w:sz w:val="22"/>
              </w:rPr>
              <w:t>2027+</w:t>
            </w:r>
          </w:p>
        </w:tc>
      </w:tr>
      <w:tr>
        <w:tc>
          <w:tcPr>
            <w:tcW w:type="dxa" w:w="1728"/>
          </w:tcPr>
          <w:p>
            <w:r>
              <w:rPr>
                <w:rFonts w:ascii="Calibri" w:hAnsi="Calibri"/>
                <w:sz w:val="22"/>
              </w:rPr>
              <w:t>Amphitheater Per-Cap Spending Disappointment</w:t>
            </w:r>
          </w:p>
        </w:tc>
        <w:tc>
          <w:tcPr>
            <w:tcW w:type="dxa" w:w="1728"/>
          </w:tcPr>
          <w:p>
            <w:r>
              <w:rPr>
                <w:rFonts w:ascii="Calibri" w:hAnsi="Calibri"/>
                <w:sz w:val="22"/>
              </w:rPr>
              <w:t>With ~70% of amphitheater fan growth in Q3, any deterioration in on-site spending (food/beverage, premium experiences) from the early positive data points would be the most likely Q3 negative surprise. Consumer trade-down in a softer macro environment is the primary driver.</w:t>
            </w:r>
          </w:p>
        </w:tc>
        <w:tc>
          <w:tcPr>
            <w:tcW w:type="dxa" w:w="1728"/>
          </w:tcPr>
          <w:p>
            <w:r>
              <w:rPr>
                <w:rFonts w:ascii="Calibri" w:hAnsi="Calibri"/>
                <w:sz w:val="22"/>
              </w:rPr>
              <w:t>Low-Medium (early data positive; no trade-down observed as of late May)</w:t>
            </w:r>
          </w:p>
        </w:tc>
        <w:tc>
          <w:tcPr>
            <w:tcW w:type="dxa" w:w="1728"/>
          </w:tcPr>
          <w:p>
            <w:r>
              <w:rPr>
                <w:rFonts w:ascii="Calibri" w:hAnsi="Calibri"/>
                <w:sz w:val="22"/>
              </w:rPr>
              <w:t>Medium (per-cap is a key AOI driver at owned venues)</w:t>
            </w:r>
          </w:p>
        </w:tc>
        <w:tc>
          <w:tcPr>
            <w:tcW w:type="dxa" w:w="1728"/>
          </w:tcPr>
          <w:p>
            <w:r>
              <w:rPr>
                <w:rFonts w:ascii="Calibri" w:hAnsi="Calibri"/>
                <w:sz w:val="22"/>
              </w:rPr>
              <w:t>Q3 2026 (peak amphitheater season)</w:t>
            </w:r>
          </w:p>
        </w:tc>
      </w:tr>
      <w:tr>
        <w:tc>
          <w:tcPr>
            <w:tcW w:type="dxa" w:w="1728"/>
          </w:tcPr>
          <w:p>
            <w:r>
              <w:rPr>
                <w:rFonts w:ascii="Calibri" w:hAnsi="Calibri"/>
                <w:sz w:val="22"/>
              </w:rPr>
              <w:t>Secondary Ticketing Headwind Larger Than Guided</w:t>
            </w:r>
          </w:p>
        </w:tc>
        <w:tc>
          <w:tcPr>
            <w:tcW w:type="dxa" w:w="1728"/>
          </w:tcPr>
          <w:p>
            <w:r>
              <w:rPr>
                <w:rFonts w:ascii="Calibri" w:hAnsi="Calibri"/>
                <w:sz w:val="22"/>
              </w:rPr>
              <w:t>Management guided to a mid-single-digit drag to Ticketmaster AOI from secondary market changes. If the structural step-down is larger than anticipated (e.g., broker inventory removal reduces primary demand signals), the headwind could exceed guidance.</w:t>
            </w:r>
          </w:p>
        </w:tc>
        <w:tc>
          <w:tcPr>
            <w:tcW w:type="dxa" w:w="1728"/>
          </w:tcPr>
          <w:p>
            <w:r>
              <w:rPr>
                <w:rFonts w:ascii="Calibri" w:hAnsi="Calibri"/>
                <w:sz w:val="22"/>
              </w:rPr>
              <w:t>Low (management has quantified and appears to have visibility)</w:t>
            </w:r>
          </w:p>
        </w:tc>
        <w:tc>
          <w:tcPr>
            <w:tcW w:type="dxa" w:w="1728"/>
          </w:tcPr>
          <w:p>
            <w:r>
              <w:rPr>
                <w:rFonts w:ascii="Calibri" w:hAnsi="Calibri"/>
                <w:sz w:val="22"/>
              </w:rPr>
              <w:t>Medium (Ticketmaster AOI is a key segment)</w:t>
            </w:r>
          </w:p>
        </w:tc>
        <w:tc>
          <w:tcPr>
            <w:tcW w:type="dxa" w:w="1728"/>
          </w:tcPr>
          <w:p>
            <w:r>
              <w:rPr>
                <w:rFonts w:ascii="Calibri" w:hAnsi="Calibri"/>
                <w:sz w:val="22"/>
              </w:rPr>
              <w:t>FY2026 (one-time; comps out in 2027)</w:t>
            </w:r>
          </w:p>
        </w:tc>
      </w:tr>
      <w:tr>
        <w:tc>
          <w:tcPr>
            <w:tcW w:type="dxa" w:w="1728"/>
          </w:tcPr>
          <w:p>
            <w:r>
              <w:rPr>
                <w:rFonts w:ascii="Calibri" w:hAnsi="Calibri"/>
                <w:sz w:val="22"/>
              </w:rPr>
              <w:t>Macro Consumer Spending Slowdown</w:t>
            </w:r>
          </w:p>
        </w:tc>
        <w:tc>
          <w:tcPr>
            <w:tcW w:type="dxa" w:w="1728"/>
          </w:tcPr>
          <w:p>
            <w:r>
              <w:rPr>
                <w:rFonts w:ascii="Calibri" w:hAnsi="Calibri"/>
                <w:sz w:val="22"/>
              </w:rPr>
              <w:t>A broader consumer spending pullback (driven by tariffs, inflation, or labor market softening) could reduce discretionary spending on live events. Management has seen no evidence of this as of late May, but the risk increases if macro deteriorates through summer.</w:t>
            </w:r>
          </w:p>
        </w:tc>
        <w:tc>
          <w:tcPr>
            <w:tcW w:type="dxa" w:w="1728"/>
          </w:tcPr>
          <w:p>
            <w:r>
              <w:rPr>
                <w:rFonts w:ascii="Calibri" w:hAnsi="Calibri"/>
                <w:sz w:val="22"/>
              </w:rPr>
              <w:t>Low-Medium (no current evidence; management explicitly dismissed)</w:t>
            </w:r>
          </w:p>
        </w:tc>
        <w:tc>
          <w:tcPr>
            <w:tcW w:type="dxa" w:w="1728"/>
          </w:tcPr>
          <w:p>
            <w:r>
              <w:rPr>
                <w:rFonts w:ascii="Calibri" w:hAnsi="Calibri"/>
                <w:sz w:val="22"/>
              </w:rPr>
              <w:t>Medium-High (live events are discretionary; high-ticket shows most vulnerable)</w:t>
            </w:r>
          </w:p>
        </w:tc>
        <w:tc>
          <w:tcPr>
            <w:tcW w:type="dxa" w:w="1728"/>
          </w:tcPr>
          <w:p>
            <w:r>
              <w:rPr>
                <w:rFonts w:ascii="Calibri" w:hAnsi="Calibri"/>
                <w:sz w:val="22"/>
              </w:rPr>
              <w:t>Q3–Q4 2026</w:t>
            </w:r>
          </w:p>
        </w:tc>
      </w:tr>
      <w:tr>
        <w:tc>
          <w:tcPr>
            <w:tcW w:type="dxa" w:w="1728"/>
          </w:tcPr>
          <w:p>
            <w:r>
              <w:rPr>
                <w:rFonts w:ascii="Calibri" w:hAnsi="Calibri"/>
                <w:sz w:val="22"/>
              </w:rPr>
              <w:t>Venue Nation Capex Execution Risk</w:t>
            </w:r>
          </w:p>
        </w:tc>
        <w:tc>
          <w:tcPr>
            <w:tcW w:type="dxa" w:w="1728"/>
          </w:tcPr>
          <w:p>
            <w:r>
              <w:rPr>
                <w:rFonts w:ascii="Calibri" w:hAnsi="Calibri"/>
                <w:sz w:val="22"/>
              </w:rPr>
              <w:t>With $1.1–$1.2B in FY2026 capex (the highest in company history), construction delays, cost overruns, or permitting issues at new venues could delay the AOI ramp. Pre-opening costs of ~$50M are already guided.</w:t>
            </w:r>
          </w:p>
        </w:tc>
        <w:tc>
          <w:tcPr>
            <w:tcW w:type="dxa" w:w="1728"/>
          </w:tcPr>
          <w:p>
            <w:r>
              <w:rPr>
                <w:rFonts w:ascii="Calibri" w:hAnsi="Calibri"/>
                <w:sz w:val="22"/>
              </w:rPr>
              <w:t>Low-Medium (20 venues in construction or permitted; execution track record is solid)</w:t>
            </w:r>
          </w:p>
        </w:tc>
        <w:tc>
          <w:tcPr>
            <w:tcW w:type="dxa" w:w="1728"/>
          </w:tcPr>
          <w:p>
            <w:r>
              <w:rPr>
                <w:rFonts w:ascii="Calibri" w:hAnsi="Calibri"/>
                <w:sz w:val="22"/>
              </w:rPr>
              <w:t>Medium (delays push AOI ramp to 2030+)</w:t>
            </w:r>
          </w:p>
        </w:tc>
        <w:tc>
          <w:tcPr>
            <w:tcW w:type="dxa" w:w="1728"/>
          </w:tcPr>
          <w:p>
            <w:r>
              <w:rPr>
                <w:rFonts w:ascii="Calibri" w:hAnsi="Calibri"/>
                <w:sz w:val="22"/>
              </w:rPr>
              <w:t>2026–2028</w:t>
            </w:r>
          </w:p>
        </w:tc>
      </w:tr>
      <w:tr>
        <w:tc>
          <w:tcPr>
            <w:tcW w:type="dxa" w:w="1728"/>
          </w:tcPr>
          <w:p>
            <w:r>
              <w:rPr>
                <w:rFonts w:ascii="Calibri" w:hAnsi="Calibri"/>
                <w:sz w:val="22"/>
              </w:rPr>
              <w:t>Tunney Act Review — DOJ Settlement Rejection</w:t>
            </w:r>
          </w:p>
        </w:tc>
        <w:tc>
          <w:tcPr>
            <w:tcW w:type="dxa" w:w="1728"/>
          </w:tcPr>
          <w:p>
            <w:r>
              <w:rPr>
                <w:rFonts w:ascii="Calibri" w:hAnsi="Calibri"/>
                <w:sz w:val="22"/>
              </w:rPr>
              <w:t>The judge’s Tunney Act review of the DOJ settlement (ruling expected Sep/Oct 2026) could reject the settlement as insufficient, reopening the structural remedy debate. The judge has publicly stated the settlement is a ‘good framework,’ reducing this risk.</w:t>
            </w:r>
          </w:p>
        </w:tc>
        <w:tc>
          <w:tcPr>
            <w:tcW w:type="dxa" w:w="1728"/>
          </w:tcPr>
          <w:p>
            <w:r>
              <w:rPr>
                <w:rFonts w:ascii="Calibri" w:hAnsi="Calibri"/>
                <w:sz w:val="22"/>
              </w:rPr>
              <w:t>Low (judge has signaled approval; DOJ settlement is the baseline)</w:t>
            </w:r>
          </w:p>
        </w:tc>
        <w:tc>
          <w:tcPr>
            <w:tcW w:type="dxa" w:w="1728"/>
          </w:tcPr>
          <w:p>
            <w:r>
              <w:rPr>
                <w:rFonts w:ascii="Calibri" w:hAnsi="Calibri"/>
                <w:sz w:val="22"/>
              </w:rPr>
              <w:t>High (rejection would reopen structural remedy debate)</w:t>
            </w:r>
          </w:p>
        </w:tc>
        <w:tc>
          <w:tcPr>
            <w:tcW w:type="dxa" w:w="1728"/>
          </w:tcPr>
          <w:p>
            <w:r>
              <w:rPr>
                <w:rFonts w:ascii="Calibri" w:hAnsi="Calibri"/>
                <w:sz w:val="22"/>
              </w:rPr>
              <w:t>Sep/Oct 2026</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