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MA before writing the preview. Let me start by gathering recent earnings materials, news, and price data.Let me read the most recent earnings call (2026Q1) and release, plus get recent news and price data.Now let me get recent news, price performance, and the Q2 2025 comparison quarter for context.I have what I need. Let me quickly compute a few price stats before writing.Here is the preview.</w:t>
      </w:r>
    </w:p>
    <w:p>
      <w:r>
        <w:pict>
          <v:rect style="width:0;height:1.5pt" o:hralign="center" o:hrstd="t" o:hr="t"/>
        </w:pict>
      </w:r>
    </w:p>
    <w:bookmarkStart w:id="15" w:name="mastercard-ma--q2-2026-earnings-preview"/>
    <w:p>
      <w:pPr>
        <w:pStyle w:val="Heading1"/>
      </w:pPr>
      <w:r>
        <w:t xml:space="preserve">Mastercard (MA) — Q2 2026 Earnings Preview</w:t>
      </w:r>
    </w:p>
    <w:p>
      <w:pPr>
        <w:pStyle w:val="FirstParagraph"/>
      </w:pPr>
      <w:r>
        <w:rPr>
          <w:b/>
          <w:bCs/>
        </w:rPr>
        <w:t xml:space="preserve">Report date:</w:t>
      </w:r>
      <w:r>
        <w:t xml:space="preserve"> </w:t>
      </w:r>
      <w:r>
        <w:t xml:space="preserve">Thursday, July 30, 2026 (before U.S. market open) ·</w:t>
      </w:r>
      <w:r>
        <w:t xml:space="preserve"> </w:t>
      </w:r>
      <w:r>
        <w:rPr>
          <w:b/>
          <w:bCs/>
        </w:rPr>
        <w:t xml:space="preserve">Call:</w:t>
      </w:r>
      <w:r>
        <w:t xml:space="preserve"> </w:t>
      </w:r>
      <w:r>
        <w:t xml:space="preserve">9:00 a.m. ET</w:t>
      </w:r>
    </w:p>
    <w:bookmarkStart w:id="9" w:name="the-one-sentence-setup"/>
    <w:p>
      <w:pPr>
        <w:pStyle w:val="Heading2"/>
      </w:pPr>
      <w:r>
        <w:t xml:space="preserve">The one-sentence setup</w:t>
      </w:r>
    </w:p>
    <w:p>
      <w:pPr>
        <w:pStyle w:val="FirstParagraph"/>
      </w:pPr>
      <w:r>
        <w:t xml:space="preserve">Mastercard heads into Q2 as a business firing on all cylinders operationally, but with the print gated by one largely exogenous swing factor: how much the Middle East conflict dented cross-border travel — and, more importantly, whether management signals that the guided Q2 "trough" is behind them. The stock has round-tripped a scare and is back near its highs, so the bar has quietly risen.</w:t>
      </w:r>
    </w:p>
    <w:bookmarkEnd w:id="9"/>
    <w:bookmarkStart w:id="10" w:name="X9955ff77692badc4b676be2af60eeab9817798c"/>
    <w:p>
      <w:pPr>
        <w:pStyle w:val="Heading2"/>
      </w:pPr>
      <w:r>
        <w:t xml:space="preserve">Consensus &amp; what management already told you</w:t>
      </w:r>
    </w:p>
    <w:p>
      <w:pPr>
        <w:pStyle w:val="Compact"/>
        <w:numPr>
          <w:ilvl w:val="0"/>
          <w:numId w:val="1001"/>
        </w:numPr>
      </w:pPr>
      <w:r>
        <w:rPr>
          <w:b/>
          <w:bCs/>
        </w:rPr>
        <w:t xml:space="preserve">Street:</w:t>
      </w:r>
      <w:r>
        <w:t xml:space="preserve"> </w:t>
      </w:r>
      <w:r>
        <w:t xml:space="preserve">Revenue</w:t>
      </w:r>
      <w:r>
        <w:t xml:space="preserve"> </w:t>
      </w:r>
      <w:r>
        <w:rPr>
          <w:b/>
          <w:bCs/>
        </w:rPr>
        <w:t xml:space="preserve">~</w:t>
      </w:r>
      <m:oMath>
        <m:r>
          <m:t>9.07</m:t>
        </m:r>
        <m:r>
          <m:t>B</m:t>
        </m:r>
        <m:r>
          <m:rPr>
            <m:sty m:val="p"/>
          </m:rPr>
          <m:t>(</m:t>
        </m:r>
        <m:r>
          <m:rPr>
            <m:sty m:val="p"/>
          </m:rPr>
          <m:t>+</m:t>
        </m:r>
        <m:r>
          <m:t>11.5</m:t>
        </m:r>
      </m:oMath>
      <w:r>
        <w:rPr>
          <w:b/>
          <w:bCs/>
        </w:rPr>
        <w:t xml:space="preserve">4.77 (+14.9% vs. adjusted $4.15 a year ago)</w:t>
      </w:r>
      <w:r>
        <w:t xml:space="preserve">. Sentiment is bullish going in — consumer spend resilient, crypto/stablecoin disruption fears cooled, and value-added services (VAS) growth robust.</w:t>
      </w:r>
    </w:p>
    <w:p>
      <w:pPr>
        <w:pStyle w:val="Compact"/>
        <w:numPr>
          <w:ilvl w:val="0"/>
          <w:numId w:val="1001"/>
        </w:numPr>
      </w:pPr>
      <w:r>
        <w:rPr>
          <w:b/>
          <w:bCs/>
        </w:rPr>
        <w:t xml:space="preserve">Management's Q2 guide (given on the Q1 call):</w:t>
      </w:r>
      <w:r>
        <w:t xml:space="preserve"> </w:t>
      </w:r>
      <w:r>
        <w:t xml:space="preserve">Currency-neutral net revenue growth at the</w:t>
      </w:r>
      <w:r>
        <w:t xml:space="preserve"> </w:t>
      </w:r>
      <w:r>
        <w:rPr>
          <w:b/>
          <w:bCs/>
        </w:rPr>
        <w:t xml:space="preserve">low end of low-double-digits</w:t>
      </w:r>
      <w:r>
        <w:t xml:space="preserve"> </w:t>
      </w:r>
      <w:r>
        <w:t xml:space="preserve">(ex-inorganic), plus a</w:t>
      </w:r>
      <w:r>
        <w:t xml:space="preserve"> </w:t>
      </w:r>
      <w:r>
        <w:rPr>
          <w:b/>
          <w:bCs/>
        </w:rPr>
        <w:t xml:space="preserve">~1–2 ppt FX tailwind</w:t>
      </w:r>
      <w:r>
        <w:t xml:space="preserve">; adjusted opex growth also at the low end of low-double-digits (cn, ex-inorganic) with a small disposition benefit and a modest FX headwind. Other income/expense of</w:t>
      </w:r>
      <w:r>
        <w:t xml:space="preserve"> </w:t>
      </w:r>
      <w:r>
        <w:rPr>
          <w:b/>
          <w:bCs/>
        </w:rPr>
        <w:t xml:space="preserve">~$150M</w:t>
      </w:r>
      <w:r>
        <w:t xml:space="preserve"> </w:t>
      </w:r>
      <w:r>
        <w:t xml:space="preserve">(up sequentially on lower cash, higher debt from accelerated buybacks, plus one-time items). Tax rate</w:t>
      </w:r>
      <w:r>
        <w:t xml:space="preserve"> </w:t>
      </w:r>
      <w:r>
        <w:rPr>
          <w:b/>
          <w:bCs/>
        </w:rPr>
        <w:t xml:space="preserve">20–21%</w:t>
      </w:r>
      <w:r>
        <w:t xml:space="preserve">.</w:t>
      </w:r>
    </w:p>
    <w:p>
      <w:pPr>
        <w:pStyle w:val="Compact"/>
        <w:numPr>
          <w:ilvl w:val="0"/>
          <w:numId w:val="1001"/>
        </w:numPr>
      </w:pPr>
      <w:r>
        <w:rPr>
          <w:b/>
          <w:bCs/>
        </w:rPr>
        <w:t xml:space="preserve">The key framing:</w:t>
      </w:r>
      <w:r>
        <w:t xml:space="preserve"> </w:t>
      </w:r>
      <w:r>
        <w:t xml:space="preserve">Management explicitly said Q2 would have been "generally in line with Q1" (which grew</w:t>
      </w:r>
      <w:r>
        <w:t xml:space="preserve"> </w:t>
      </w:r>
      <w:r>
        <w:rPr>
          <w:b/>
          <w:bCs/>
        </w:rPr>
        <w:t xml:space="preserve">12% cn</w:t>
      </w:r>
      <w:r>
        <w:t xml:space="preserve">)</w:t>
      </w:r>
      <w:r>
        <w:t xml:space="preserve"> </w:t>
      </w:r>
      <w:r>
        <w:rPr>
          <w:b/>
          <w:bCs/>
        </w:rPr>
        <w:t xml:space="preserve">were it not for the conflict</w:t>
      </w:r>
      <w:r>
        <w:t xml:space="preserve">. In other words, Q2 is designed to be the</w:t>
      </w:r>
      <w:r>
        <w:t xml:space="preserve"> </w:t>
      </w:r>
      <w:r>
        <w:rPr>
          <w:i/>
          <w:iCs/>
        </w:rPr>
        <w:t xml:space="preserve">low point</w:t>
      </w:r>
      <w:r>
        <w:t xml:space="preserve">, with a "progressive recovery" through 2H. Full-year cn revenue guide was held at the</w:t>
      </w:r>
      <w:r>
        <w:t xml:space="preserve"> </w:t>
      </w:r>
      <w:r>
        <w:rPr>
          <w:b/>
          <w:bCs/>
        </w:rPr>
        <w:t xml:space="preserve">high end of low-double-digits</w:t>
      </w:r>
      <w:r>
        <w:t xml:space="preserve">.</w:t>
      </w:r>
    </w:p>
    <w:p>
      <w:pPr>
        <w:pStyle w:val="FirstParagraph"/>
      </w:pPr>
      <w:r>
        <w:rPr>
          <w:b/>
          <w:bCs/>
        </w:rPr>
        <w:t xml:space="preserve">Bottom line on the model:</w:t>
      </w:r>
      <w:r>
        <w:t xml:space="preserve"> </w:t>
      </w:r>
      <w:r>
        <w:t xml:space="preserve">This is a quarter where the reported number is somewhat pre-negotiated. The debate is less "beat vs. miss" and more "how clean is the beat, and what does the exit rate look like."</w:t>
      </w:r>
    </w:p>
    <w:bookmarkEnd w:id="10"/>
    <w:bookmarkStart w:id="11" w:name="what-actually-matters--the-swing-factors"/>
    <w:p>
      <w:pPr>
        <w:pStyle w:val="Heading2"/>
      </w:pPr>
      <w:r>
        <w:t xml:space="preserve">What actually matters — the swing factors</w:t>
      </w:r>
    </w:p>
    <w:p>
      <w:pPr>
        <w:pStyle w:val="FirstParagraph"/>
      </w:pPr>
      <w:r>
        <w:rPr>
          <w:b/>
          <w:bCs/>
        </w:rPr>
        <w:t xml:space="preserve">1. Cross-border travel and the Middle East.</w:t>
      </w:r>
      <w:r>
        <w:t xml:space="preserve"> </w:t>
      </w:r>
      <w:r>
        <w:t xml:space="preserve">This is the single biggest variable.</w:t>
      </w:r>
    </w:p>
    <w:p>
      <w:pPr>
        <w:pStyle w:val="Compact"/>
        <w:numPr>
          <w:ilvl w:val="0"/>
          <w:numId w:val="1002"/>
        </w:numPr>
      </w:pPr>
      <w:r>
        <w:t xml:space="preserve">In Q1, total cross-border volume grew a healthy</w:t>
      </w:r>
      <w:r>
        <w:t xml:space="preserve"> </w:t>
      </w:r>
      <w:r>
        <w:rPr>
          <w:b/>
          <w:bCs/>
        </w:rPr>
        <w:t xml:space="preserve">13% (local currency)</w:t>
      </w:r>
      <w:r>
        <w:t xml:space="preserve">, but cross-border</w:t>
      </w:r>
      <w:r>
        <w:t xml:space="preserve"> </w:t>
      </w:r>
      <w:r>
        <w:rPr>
          <w:i/>
          <w:iCs/>
        </w:rPr>
        <w:t xml:space="preserve">travel</w:t>
      </w:r>
      <w:r>
        <w:t xml:space="preserve"> </w:t>
      </w:r>
      <w:r>
        <w:t xml:space="preserve">decelerated hard — from ~8% growth in the quarter to just **~2% in the first four weeks of April**, driven (in order) by the conflict, portfolio shifts, and Ramadan/Easter timing.</w:t>
      </w:r>
    </w:p>
    <w:p>
      <w:pPr>
        <w:pStyle w:val="Compact"/>
        <w:numPr>
          <w:ilvl w:val="0"/>
          <w:numId w:val="1002"/>
        </w:numPr>
      </w:pPr>
      <w:r>
        <w:t xml:space="preserve">Management sized the directly impacted markets (GCC + Israel) at</w:t>
      </w:r>
      <w:r>
        <w:t xml:space="preserve"> </w:t>
      </w:r>
      <w:r>
        <w:rPr>
          <w:b/>
          <w:bCs/>
        </w:rPr>
        <w:t xml:space="preserve">~6% of cross-border volume</w:t>
      </w:r>
      <w:r>
        <w:t xml:space="preserve">. The full-year guide bakes in an assumption that</w:t>
      </w:r>
      <w:r>
        <w:t xml:space="preserve"> </w:t>
      </w:r>
      <w:r>
        <w:rPr>
          <w:b/>
          <w:bCs/>
        </w:rPr>
        <w:t xml:space="preserve">the conflict ends in Q2</w:t>
      </w:r>
      <w:r>
        <w:t xml:space="preserve">.</w:t>
      </w:r>
    </w:p>
    <w:p>
      <w:pPr>
        <w:pStyle w:val="Compact"/>
        <w:numPr>
          <w:ilvl w:val="0"/>
          <w:numId w:val="1002"/>
        </w:numPr>
      </w:pPr>
      <w:r>
        <w:rPr>
          <w:b/>
          <w:bCs/>
        </w:rPr>
        <w:t xml:space="preserve">What to listen for:</w:t>
      </w:r>
      <w:r>
        <w:t xml:space="preserve"> </w:t>
      </w:r>
      <w:r>
        <w:t xml:space="preserve">the July/QTD cross-border travel trend on the call, and whether the "progressive recovery" narrative is being confirmed or pushed out. Cross-border card-not-present ex-travel (a strong +18% in Q1) is the tell for underlying digital demand independent of the travel disruption.</w:t>
      </w:r>
    </w:p>
    <w:p>
      <w:pPr>
        <w:pStyle w:val="FirstParagraph"/>
      </w:pPr>
      <w:r>
        <w:rPr>
          <w:b/>
          <w:bCs/>
        </w:rPr>
        <w:t xml:space="preserve">2. Value-Added Services &amp; Solutions (~40% of revenue).</w:t>
      </w:r>
      <w:r>
        <w:t xml:space="preserve"> </w:t>
      </w:r>
      <w:r>
        <w:t xml:space="preserve">The structural growth engine and margin story.</w:t>
      </w:r>
    </w:p>
    <w:p>
      <w:pPr>
        <w:pStyle w:val="Compact"/>
        <w:numPr>
          <w:ilvl w:val="0"/>
          <w:numId w:val="1003"/>
        </w:numPr>
      </w:pPr>
      <w:r>
        <w:t xml:space="preserve">Grew</w:t>
      </w:r>
      <w:r>
        <w:t xml:space="preserve"> </w:t>
      </w:r>
      <w:r>
        <w:rPr>
          <w:b/>
          <w:bCs/>
        </w:rPr>
        <w:t xml:space="preserve">18% cn</w:t>
      </w:r>
      <w:r>
        <w:t xml:space="preserve"> </w:t>
      </w:r>
      <w:r>
        <w:t xml:space="preserve">in Q1 (with</w:t>
      </w:r>
      <w:r>
        <w:t xml:space="preserve"> </w:t>
      </w:r>
      <w:r>
        <w:rPr>
          <w:i/>
          <w:iCs/>
        </w:rPr>
        <w:t xml:space="preserve">no</w:t>
      </w:r>
      <w:r>
        <w:t xml:space="preserve"> </w:t>
      </w:r>
      <w:r>
        <w:t xml:space="preserve">acquisition contribution this quarter — a cleaner organic read than the ~22% including M&amp;A in prior quarters). Watch whether it holds high-teens. Security (Recorded Future / Threat Intelligence, 500+ customers), Ethoca (~25% growth), and consulting/marketing are the drivers. Note the y/y comp gets tougher as Recorded Future laps.</w:t>
      </w:r>
    </w:p>
    <w:p>
      <w:pPr>
        <w:pStyle w:val="FirstParagraph"/>
      </w:pPr>
      <w:r>
        <w:rPr>
          <w:b/>
          <w:bCs/>
        </w:rPr>
        <w:t xml:space="preserve">3. Underlying consumer spend.</w:t>
      </w:r>
      <w:r>
        <w:t xml:space="preserve"> </w:t>
      </w:r>
      <w:r>
        <w:t xml:space="preserve">U.S. GDV was +4% in Q1 (dragged ~3 ppt by the now-</w:t>
      </w:r>
      <w:r>
        <w:rPr>
          <w:b/>
          <w:bCs/>
        </w:rPr>
        <w:t xml:space="preserve">complete Capital One debit migration</w:t>
      </w:r>
      <w:r>
        <w:t xml:space="preserve">; ex-Cap One U.S. debit was ~7%). With the migration headwind largely lapping, U.S. volume optics should improve. Management called underlying consumer/business spend "healthy" and stable — confirmation of that resilience is the base case the whole guide rests on.</w:t>
      </w:r>
    </w:p>
    <w:p>
      <w:pPr>
        <w:pStyle w:val="BodyText"/>
      </w:pPr>
      <w:r>
        <w:rPr>
          <w:b/>
          <w:bCs/>
        </w:rPr>
        <w:t xml:space="preserve">4. Switched transactions &amp; yield.</w:t>
      </w:r>
      <w:r>
        <w:t xml:space="preserve"> </w:t>
      </w:r>
      <w:r>
        <w:t xml:space="preserve">Switched transactions grew 9% (10% ex-Cap One); the mix of pricing, cross-border, and FX-volatility drives the assessment-line spreads. FX volatility is a</w:t>
      </w:r>
      <w:r>
        <w:t xml:space="preserve"> </w:t>
      </w:r>
      <w:r>
        <w:rPr>
          <w:i/>
          <w:iCs/>
        </w:rPr>
        <w:t xml:space="preserve">headwind that peaks in Q2</w:t>
      </w:r>
      <w:r>
        <w:t xml:space="preserve"> </w:t>
      </w:r>
      <w:r>
        <w:t xml:space="preserve">(hardest comp vs. Q2'25's elevated volatility), then eases — a nuance worth remembering when parsing transaction-processing revenue.</w:t>
      </w:r>
    </w:p>
    <w:bookmarkEnd w:id="11"/>
    <w:bookmarkStart w:id="12" w:name="strategic--newsflow-watch-items"/>
    <w:p>
      <w:pPr>
        <w:pStyle w:val="Heading2"/>
      </w:pPr>
      <w:r>
        <w:t xml:space="preserve">Strategic / newsflow watch items</w:t>
      </w:r>
    </w:p>
    <w:p>
      <w:pPr>
        <w:pStyle w:val="Compact"/>
        <w:numPr>
          <w:ilvl w:val="0"/>
          <w:numId w:val="1004"/>
        </w:numPr>
      </w:pPr>
      <w:r>
        <w:rPr>
          <w:b/>
          <w:bCs/>
        </w:rPr>
        <w:t xml:space="preserve">Portfolio reshuffling.</w:t>
      </w:r>
      <w:r>
        <w:t xml:space="preserve"> </w:t>
      </w:r>
      <w:r>
        <w:t xml:space="preserve">Management is trimming as well as buying. The</w:t>
      </w:r>
      <w:r>
        <w:t xml:space="preserve"> </w:t>
      </w:r>
      <w:r>
        <w:rPr>
          <w:b/>
          <w:bCs/>
        </w:rPr>
        <w:t xml:space="preserve">SessionM (loyalty) disposition</w:t>
      </w:r>
      <w:r>
        <w:t xml:space="preserve"> </w:t>
      </w:r>
      <w:r>
        <w:t xml:space="preserve">was expected to close in Q2. Separately, press reports (FT, mid-July) say Mastercard is</w:t>
      </w:r>
      <w:r>
        <w:t xml:space="preserve"> </w:t>
      </w:r>
      <w:r>
        <w:rPr>
          <w:b/>
          <w:bCs/>
        </w:rPr>
        <w:t xml:space="preserve">exploring a sale of Vocalink</w:t>
      </w:r>
      <w:r>
        <w:t xml:space="preserve"> </w:t>
      </w:r>
      <w:r>
        <w:t xml:space="preserve">back to UK banks — notable given the A2A/real-time strategy pedigree and the "market rumor" CEO Miebach declined to comment on last quarter. Any commentary on the multi-rail/A2A strategy would be a focus.</w:t>
      </w:r>
    </w:p>
    <w:p>
      <w:pPr>
        <w:pStyle w:val="Compact"/>
        <w:numPr>
          <w:ilvl w:val="0"/>
          <w:numId w:val="1004"/>
        </w:numPr>
      </w:pPr>
      <w:r>
        <w:rPr>
          <w:b/>
          <w:bCs/>
        </w:rPr>
        <w:t xml:space="preserve">Stablecoins / BVNK.</w:t>
      </w:r>
      <w:r>
        <w:t xml:space="preserve"> </w:t>
      </w:r>
      <w:r>
        <w:t xml:space="preserve">The planned</w:t>
      </w:r>
      <w:r>
        <w:t xml:space="preserve"> </w:t>
      </w:r>
      <w:r>
        <w:rPr>
          <w:b/>
          <w:bCs/>
        </w:rPr>
        <w:t xml:space="preserve">BVNK acquisition</w:t>
      </w:r>
      <w:r>
        <w:t xml:space="preserve"> </w:t>
      </w:r>
      <w:r>
        <w:t xml:space="preserve">(interoperability/compliance layer for stablecoins) is the centerpiece of the digital-assets narrative; watch for a closing update and any framing of it as an incremental, basis-points-on-volume revenue stream in a market MA doesn't touch today.</w:t>
      </w:r>
    </w:p>
    <w:p>
      <w:pPr>
        <w:pStyle w:val="Compact"/>
        <w:numPr>
          <w:ilvl w:val="0"/>
          <w:numId w:val="1004"/>
        </w:numPr>
      </w:pPr>
      <w:r>
        <w:rPr>
          <w:b/>
          <w:bCs/>
        </w:rPr>
        <w:t xml:space="preserve">Agentic commerce.</w:t>
      </w:r>
      <w:r>
        <w:t xml:space="preserve"> </w:t>
      </w:r>
      <w:r>
        <w:t xml:space="preserve">Mastercard Agent Pay is now enabled on "nearly all" Mastercards, with deepening OpenAI, Google, Microsoft and Crossmint ties. Still pre-revenue/early — treat as optionality and TAM narrative, not a near-term number.</w:t>
      </w:r>
    </w:p>
    <w:p>
      <w:pPr>
        <w:pStyle w:val="Compact"/>
        <w:numPr>
          <w:ilvl w:val="0"/>
          <w:numId w:val="1004"/>
        </w:numPr>
      </w:pPr>
      <w:r>
        <w:rPr>
          <w:b/>
          <w:bCs/>
        </w:rPr>
        <w:t xml:space="preserve">Capital return.</w:t>
      </w:r>
      <w:r>
        <w:t xml:space="preserve"> </w:t>
      </w:r>
      <w:r>
        <w:t xml:space="preserve">MA</w:t>
      </w:r>
      <w:r>
        <w:t xml:space="preserve"> </w:t>
      </w:r>
      <w:r>
        <w:rPr>
          <w:b/>
          <w:bCs/>
        </w:rPr>
        <w:t xml:space="preserve">accelerated buybacks in Q1</w:t>
      </w:r>
      <w:r>
        <w:t xml:space="preserve"> </w:t>
      </w:r>
      <w:r>
        <w:t xml:space="preserve">($4.0B repurchased +</w:t>
      </w:r>
      <w:r>
        <w:t xml:space="preserve"> </w:t>
      </w:r>
      <m:oMath>
        <m:r>
          <m:t>1.7</m:t>
        </m:r>
        <m:r>
          <m:t>B</m:t>
        </m:r>
        <m:r>
          <m:t>m</m:t>
        </m:r>
        <m:r>
          <m:t>o</m:t>
        </m:r>
        <m:r>
          <m:t>r</m:t>
        </m:r>
        <m:r>
          <m:t>e</m:t>
        </m:r>
        <m:r>
          <m:t>t</m:t>
        </m:r>
        <m:r>
          <m:t>h</m:t>
        </m:r>
        <m:r>
          <m:t>r</m:t>
        </m:r>
        <m:r>
          <m:t>o</m:t>
        </m:r>
        <m:r>
          <m:t>u</m:t>
        </m:r>
        <m:r>
          <m:t>g</m:t>
        </m:r>
        <m:r>
          <m:t>h</m:t>
        </m:r>
        <m:r>
          <m:t>l</m:t>
        </m:r>
        <m:r>
          <m:t>a</m:t>
        </m:r>
        <m:r>
          <m:t>t</m:t>
        </m:r>
        <m:r>
          <m:t>e</m:t>
        </m:r>
        <m:r>
          <m:t>A</m:t>
        </m:r>
        <m:r>
          <m:t>p</m:t>
        </m:r>
        <m:r>
          <m:t>r</m:t>
        </m:r>
        <m:r>
          <m:t>i</m:t>
        </m:r>
        <m:r>
          <m:t>l</m:t>
        </m:r>
        <m:r>
          <m:rPr>
            <m:sty m:val="p"/>
          </m:rPr>
          <m:t>)</m:t>
        </m:r>
        <m:r>
          <m:rPr>
            <m:sty m:val="p"/>
          </m:rPr>
          <m:t>,</m:t>
        </m:r>
        <m:r>
          <m:t>c</m:t>
        </m:r>
        <m:r>
          <m:t>i</m:t>
        </m:r>
        <m:r>
          <m:t>t</m:t>
        </m:r>
        <m:r>
          <m:t>i</m:t>
        </m:r>
        <m:r>
          <m:t>n</m:t>
        </m:r>
        <m:r>
          <m:t>g</m:t>
        </m:r>
        <m:r>
          <m:t>v</m:t>
        </m:r>
        <m:r>
          <m:t>a</m:t>
        </m:r>
        <m:r>
          <m:t>l</m:t>
        </m:r>
        <m:r>
          <m:t>u</m:t>
        </m:r>
        <m:r>
          <m:t>a</m:t>
        </m:r>
        <m:r>
          <m:t>t</m:t>
        </m:r>
        <m:r>
          <m:t>i</m:t>
        </m:r>
        <m:r>
          <m:t>o</m:t>
        </m:r>
        <m:r>
          <m:t>n</m:t>
        </m:r>
        <m:r>
          <m:rPr>
            <m:sty m:val="p"/>
          </m:rPr>
          <m:t>;</m:t>
        </m:r>
        <m:r>
          <m:t> </m:t>
        </m:r>
      </m:oMath>
      <w:r>
        <w:t xml:space="preserve">11.7B remained authorized. Pace of repurchase and any commentary on the higher resulting interest expense are worth noting.</w:t>
      </w:r>
    </w:p>
    <w:bookmarkEnd w:id="12"/>
    <w:bookmarkStart w:id="13" w:name="positioning--the-stock"/>
    <w:p>
      <w:pPr>
        <w:pStyle w:val="Heading2"/>
      </w:pPr>
      <w:r>
        <w:t xml:space="preserve">Positioning &amp; the stock</w:t>
      </w:r>
    </w:p>
    <w:p>
      <w:pPr>
        <w:pStyle w:val="Compact"/>
        <w:numPr>
          <w:ilvl w:val="0"/>
          <w:numId w:val="1005"/>
        </w:numPr>
      </w:pPr>
      <w:r>
        <w:t xml:space="preserve">MA is roughly</w:t>
      </w:r>
      <w:r>
        <w:t xml:space="preserve"> </w:t>
      </w:r>
      <w:r>
        <w:rPr>
          <w:b/>
          <w:bCs/>
        </w:rPr>
        <w:t xml:space="preserve">flat YTD (~+0.4%)</w:t>
      </w:r>
      <w:r>
        <w:t xml:space="preserve">, having sold off to a **~</w:t>
      </w:r>
      <m:oMath>
        <m:r>
          <m:t>471</m:t>
        </m:r>
        <m:r>
          <m:t>l</m:t>
        </m:r>
        <m:r>
          <m:t>o</m:t>
        </m:r>
        <m:r>
          <m:t>w</m:t>
        </m:r>
        <m:r>
          <m:t>i</m:t>
        </m:r>
        <m:r>
          <m:t>n</m:t>
        </m:r>
        <m:r>
          <m:t>e</m:t>
        </m:r>
        <m:r>
          <m:t>a</m:t>
        </m:r>
        <m:r>
          <m:t>r</m:t>
        </m:r>
        <m:r>
          <m:t>l</m:t>
        </m:r>
        <m:r>
          <m:t>y</m:t>
        </m:r>
        <m:r>
          <m:t>J</m:t>
        </m:r>
        <m:r>
          <m:t>u</m:t>
        </m:r>
        <m:r>
          <m:t>n</m:t>
        </m:r>
        <m:r>
          <m:t>e</m:t>
        </m:r>
        <m:r>
          <m:rPr>
            <m:sty m:val="p"/>
          </m:rPr>
          <m:t>*</m:t>
        </m:r>
        <m:r>
          <m:rPr>
            <m:sty m:val="p"/>
          </m:rPr>
          <m:t>*</m:t>
        </m:r>
        <m:r>
          <m:t>a</m:t>
        </m:r>
        <m:r>
          <m:t>n</m:t>
        </m:r>
        <m:r>
          <m:t>d</m:t>
        </m:r>
        <m:r>
          <m:t>t</m:t>
        </m:r>
        <m:r>
          <m:t>h</m:t>
        </m:r>
        <m:r>
          <m:t>e</m:t>
        </m:r>
        <m:r>
          <m:t>n</m:t>
        </m:r>
        <m:r>
          <m:t>r</m:t>
        </m:r>
        <m:r>
          <m:t>a</m:t>
        </m:r>
        <m:r>
          <m:t>l</m:t>
        </m:r>
        <m:r>
          <m:t>l</m:t>
        </m:r>
        <m:r>
          <m:t>i</m:t>
        </m:r>
        <m:r>
          <m:t>e</m:t>
        </m:r>
        <m:r>
          <m:t>d</m:t>
        </m:r>
        <m:r>
          <m:rPr>
            <m:sty m:val="p"/>
          </m:rPr>
          <m:t>*</m:t>
        </m:r>
        <m:r>
          <m:rPr>
            <m:sty m:val="p"/>
          </m:rPr>
          <m:t>*</m:t>
        </m:r>
        <m:r>
          <m:t> </m:t>
        </m:r>
        <m:r>
          <m:t>20</m:t>
        </m:r>
      </m:oMath>
      <w:r>
        <w:t xml:space="preserve">565 into the print — meaning it's essentially at the highs as it reports.</w:t>
      </w:r>
    </w:p>
    <w:p>
      <w:pPr>
        <w:pStyle w:val="Compact"/>
        <w:numPr>
          <w:ilvl w:val="0"/>
          <w:numId w:val="1005"/>
        </w:numPr>
      </w:pPr>
      <w:r>
        <w:t xml:space="preserve">It has</w:t>
      </w:r>
      <w:r>
        <w:t xml:space="preserve"> </w:t>
      </w:r>
      <w:r>
        <w:rPr>
          <w:b/>
          <w:bCs/>
        </w:rPr>
        <w:t xml:space="preserve">lagged Visa YTD (~+6%)</w:t>
      </w:r>
      <w:r>
        <w:t xml:space="preserve">, so relative-performance catch-up is part of the setup.</w:t>
      </w:r>
    </w:p>
    <w:p>
      <w:pPr>
        <w:pStyle w:val="Compact"/>
        <w:numPr>
          <w:ilvl w:val="0"/>
          <w:numId w:val="1005"/>
        </w:numPr>
      </w:pPr>
      <w:r>
        <w:t xml:space="preserve">The recent rally + bullish incoming sentiment means expectations are no longer washed out. Given management largely pre-signaled a soft-ish Q2, the risk/reward likely hinges on the</w:t>
      </w:r>
      <w:r>
        <w:t xml:space="preserve"> </w:t>
      </w:r>
      <w:r>
        <w:rPr>
          <w:b/>
          <w:bCs/>
        </w:rPr>
        <w:t xml:space="preserve">forward tone</w:t>
      </w:r>
      <w:r>
        <w:t xml:space="preserve"> </w:t>
      </w:r>
      <w:r>
        <w:t xml:space="preserve">— specifically confirmation that cross-border travel is inflecting and that the full-year high-end-of-low-double-digit cn guide is intact (or nudged up on FX).</w:t>
      </w:r>
    </w:p>
    <w:bookmarkEnd w:id="13"/>
    <w:bookmarkStart w:id="14" w:name="scorecard-for-the-print"/>
    <w:p>
      <w:pPr>
        <w:pStyle w:val="Heading2"/>
      </w:pPr>
      <w:r>
        <w:t xml:space="preserve">Scorecard for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w:t>
            </w:r>
          </w:p>
        </w:tc>
        <w:tc>
          <w:tcPr/>
          <w:p>
            <w:pPr>
              <w:pStyle w:val="Compact"/>
            </w:pPr>
            <w:r>
              <w:t xml:space="preserve">Bull signal</w:t>
            </w:r>
          </w:p>
        </w:tc>
        <w:tc>
          <w:tcPr/>
          <w:p>
            <w:pPr>
              <w:pStyle w:val="Compact"/>
            </w:pPr>
            <w:r>
              <w:t xml:space="preserve">Bear signal</w:t>
            </w:r>
          </w:p>
        </w:tc>
      </w:tr>
      <w:tr>
        <w:tc>
          <w:tcPr/>
          <w:p>
            <w:pPr>
              <w:pStyle w:val="Compact"/>
            </w:pPr>
            <w:r>
              <w:t xml:space="preserve">Cross-border travel (QTD/July)</w:t>
            </w:r>
          </w:p>
        </w:tc>
        <w:tc>
          <w:tcPr/>
          <w:p>
            <w:pPr>
              <w:pStyle w:val="Compact"/>
            </w:pPr>
            <w:r>
              <w:t xml:space="preserve">Re-accelerating toward Q1 levels</w:t>
            </w:r>
          </w:p>
        </w:tc>
        <w:tc>
          <w:tcPr/>
          <w:p>
            <w:pPr>
              <w:pStyle w:val="Compact"/>
            </w:pPr>
            <w:r>
              <w:t xml:space="preserve">Still stuck / recovery pushed to Q4</w:t>
            </w:r>
          </w:p>
        </w:tc>
      </w:tr>
      <w:tr>
        <w:tc>
          <w:tcPr/>
          <w:p>
            <w:pPr>
              <w:pStyle w:val="Compact"/>
            </w:pPr>
            <w:r>
              <w:t xml:space="preserve">VAS cn growth</w:t>
            </w:r>
          </w:p>
        </w:tc>
        <w:tc>
          <w:tcPr/>
          <w:p>
            <w:pPr>
              <w:pStyle w:val="Compact"/>
            </w:pPr>
            <w:r>
              <w:t xml:space="preserve">Holds high-teens organically</w:t>
            </w:r>
          </w:p>
        </w:tc>
        <w:tc>
          <w:tcPr/>
          <w:p>
            <w:pPr>
              <w:pStyle w:val="Compact"/>
            </w:pPr>
            <w:r>
              <w:t xml:space="preserve">Slips toward low-teens on comps</w:t>
            </w:r>
          </w:p>
        </w:tc>
      </w:tr>
      <w:tr>
        <w:tc>
          <w:tcPr/>
          <w:p>
            <w:pPr>
              <w:pStyle w:val="Compact"/>
            </w:pPr>
            <w:r>
              <w:t xml:space="preserve">U.S. volume (ex-Cap One)</w:t>
            </w:r>
          </w:p>
        </w:tc>
        <w:tc>
          <w:tcPr/>
          <w:p>
            <w:pPr>
              <w:pStyle w:val="Compact"/>
            </w:pPr>
            <w:r>
              <w:t xml:space="preserve">Clean acceleration as migration laps</w:t>
            </w:r>
          </w:p>
        </w:tc>
        <w:tc>
          <w:tcPr/>
          <w:p>
            <w:pPr>
              <w:pStyle w:val="Compact"/>
            </w:pPr>
            <w:r>
              <w:t xml:space="preserve">Softening consumer signal</w:t>
            </w:r>
          </w:p>
        </w:tc>
      </w:tr>
      <w:tr>
        <w:tc>
          <w:tcPr/>
          <w:p>
            <w:pPr>
              <w:pStyle w:val="Compact"/>
            </w:pPr>
            <w:r>
              <w:t xml:space="preserve">FY26 cn revenue guide</w:t>
            </w:r>
          </w:p>
        </w:tc>
        <w:tc>
          <w:tcPr/>
          <w:p>
            <w:pPr>
              <w:pStyle w:val="Compact"/>
            </w:pPr>
            <w:r>
              <w:t xml:space="preserve">Reaffirmed high-end / raised</w:t>
            </w:r>
          </w:p>
        </w:tc>
        <w:tc>
          <w:tcPr/>
          <w:p>
            <w:pPr>
              <w:pStyle w:val="Compact"/>
            </w:pPr>
            <w:r>
              <w:t xml:space="preserve">Trimmed on prolonged conflict</w:t>
            </w:r>
          </w:p>
        </w:tc>
      </w:tr>
      <w:tr>
        <w:tc>
          <w:tcPr/>
          <w:p>
            <w:pPr>
              <w:pStyle w:val="Compact"/>
            </w:pPr>
            <w:r>
              <w:t xml:space="preserve">Other income/expense &amp; tax</w:t>
            </w:r>
          </w:p>
        </w:tc>
        <w:tc>
          <w:tcPr/>
          <w:p>
            <w:pPr>
              <w:pStyle w:val="Compact"/>
            </w:pPr>
            <w:r>
              <w:t xml:space="preserve">In line with ~$150M / 20–21%</w:t>
            </w:r>
          </w:p>
        </w:tc>
        <w:tc>
          <w:tcPr/>
          <w:p>
            <w:pPr>
              <w:pStyle w:val="Compact"/>
            </w:pPr>
            <w:r>
              <w:t xml:space="preserve">Negative surprises weigh on EPS</w:t>
            </w:r>
          </w:p>
        </w:tc>
      </w:tr>
    </w:tbl>
    <w:p>
      <w:pPr>
        <w:pStyle w:val="BodyText"/>
      </w:pPr>
      <w:r>
        <w:rPr>
          <w:b/>
          <w:bCs/>
        </w:rPr>
        <w:t xml:space="preserve">Net:</w:t>
      </w:r>
      <w:r>
        <w:t xml:space="preserve"> </w:t>
      </w:r>
      <w:r>
        <w:t xml:space="preserve">Expect an operationally solid quarter with a likely modest EPS beat, but the trade is in the guidance/tone. The three swing votes are cross-border travel recovery, sustained ~high-teens VAS growth, and confirmation that Q2 is the guided trough — against a stock that has already re-rated back to its highs.</w:t>
      </w:r>
    </w:p>
    <w:p>
      <w:pPr>
        <w:pStyle w:val="BodyText"/>
      </w:pPr>
      <w:r>
        <w:rPr>
          <w:i/>
          <w:iCs/>
        </w:rPr>
        <w:t xml:space="preserve">Note: figures above are drawn from Mastercard's Q1 2026 and Q2 2025 earnings materials and recent newsflow; the "conflict"/cross-border framing reflects management's stated base-case assumptions as of the Q1 call and should be reconciled against whatever they disclose on July 30.</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2026-07-29T18:31:34Z</dcterms:created>
  <dcterms:modified xsi:type="dcterms:W3CDTF">2026-07-29T18:31:34Z</dcterms:modified>
</cp:coreProperties>
</file>

<file path=docProps/custom.xml><?xml version="1.0" encoding="utf-8"?>
<Properties xmlns="http://schemas.openxmlformats.org/officeDocument/2006/custom-properties" xmlns:vt="http://schemas.openxmlformats.org/officeDocument/2006/docPropsVTypes"/>
</file>