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mastercard-ma-q2-2026-earnings-preview"/>
    <w:p>
      <w:pPr>
        <w:pStyle w:val="Heading1"/>
      </w:pPr>
      <w:r>
        <w:t xml:space="preserve">Mastercard (MA) Q2 2026 Earnings Preview</w:t>
      </w:r>
    </w:p>
    <w:p>
      <w:pPr>
        <w:pStyle w:val="FirstParagraph"/>
      </w:pPr>
      <w:r>
        <w:rPr>
          <w:b/>
          <w:bCs/>
        </w:rPr>
        <w:t xml:space="preserve">Report Date:</w:t>
      </w:r>
      <w:r>
        <w:t xml:space="preserve"> </w:t>
      </w:r>
      <w:r>
        <w:t xml:space="preserve">Thursday, July 30, 2026, before market open |</w:t>
      </w:r>
      <w:r>
        <w:t xml:space="preserve"> </w:t>
      </w:r>
      <w:r>
        <w:rPr>
          <w:b/>
          <w:bCs/>
        </w:rPr>
        <w:t xml:space="preserve">Call:</w:t>
      </w:r>
      <w:r>
        <w:t xml:space="preserve"> </w:t>
      </w:r>
      <w:r>
        <w:t xml:space="preserve">2026Q2 Earnings Call</w:t>
      </w:r>
    </w:p>
    <w:bookmarkStart w:id="9" w:name="setup-into-the-print"/>
    <w:p>
      <w:pPr>
        <w:pStyle w:val="Heading2"/>
      </w:pPr>
      <w:r>
        <w:t xml:space="preserve">Setup Into the Print</w:t>
      </w:r>
    </w:p>
    <w:p>
      <w:pPr>
        <w:pStyle w:val="FirstParagraph"/>
      </w:pPr>
      <w:r>
        <w:t xml:space="preserve">Mastercard shares have been on a strong run heading into the print, climbing from roughly $503 the day it reported Q1 (April 30) to over $565 as of July 29 — a gain of roughly 12% over the quarter, including a sharp move higher in the final week of July. Sentiment looks constructive: consensus has the Street looking for</w:t>
      </w:r>
      <w:r>
        <w:t xml:space="preserve"> </w:t>
      </w:r>
      <w:r>
        <w:rPr>
          <w:b/>
          <w:bCs/>
        </w:rPr>
        <w:t xml:space="preserve">Q2 revenue of +11.5% to $9.07 billion</w:t>
      </w:r>
      <w:r>
        <w:t xml:space="preserve"> </w:t>
      </w:r>
      <w:r>
        <w:t xml:space="preserve">and</w:t>
      </w:r>
      <w:r>
        <w:t xml:space="preserve"> </w:t>
      </w:r>
      <w:r>
        <w:rPr>
          <w:b/>
          <w:bCs/>
        </w:rPr>
        <w:t xml:space="preserve">EPS of $4.77</w:t>
      </w:r>
      <w:r>
        <w:t xml:space="preserve">. The setup was reinforced on July 28 when close peer Visa posted a beat-and-raise fiscal Q3 with 18% volume growth and 45% value-added-services growth, suggesting the payments-volume backdrop stayed healthy through the quarter — a positive read-through for Mastercard, though it also raises the bar for what the market will consider a "good" quarter.</w:t>
      </w:r>
    </w:p>
    <w:bookmarkEnd w:id="9"/>
    <w:bookmarkStart w:id="10" w:name="what-happened-last-quarter-q1-2026-recap"/>
    <w:p>
      <w:pPr>
        <w:pStyle w:val="Heading2"/>
      </w:pPr>
      <w:r>
        <w:t xml:space="preserve">What Happened Last Quarter (Q1 2026 Recap)</w:t>
      </w:r>
    </w:p>
    <w:p>
      <w:pPr>
        <w:pStyle w:val="FirstParagraph"/>
      </w:pPr>
      <w:r>
        <w:t xml:space="preserve">Mastercard's Q1 was strong on both the top and bottom line: net revenue of $8.4 billion (+16% reported, +12% currency-neutral), adjusted EPS of $4.60 (+18% currency-neutral), with GDV up 7%, cross-border volume up 13%, and switched transactions up 9% on a local-currency basis. Value-added services and solutions (VAS) — now roughly 40% of revenue — grew a robust 18% currency-neutral with no acquisition contribution, led by security solutions, digital/authentication, business &amp; market insights and consulting services.</w:t>
      </w:r>
    </w:p>
    <w:bookmarkEnd w:id="10"/>
    <w:bookmarkStart w:id="11" w:name="X68bf1242064d865428f99cc509774b67ef7cb52"/>
    <w:p>
      <w:pPr>
        <w:pStyle w:val="Heading2"/>
      </w:pPr>
      <w:r>
        <w:t xml:space="preserve">The Central Swing Factor: The Middle East Conflict Assumption</w:t>
      </w:r>
    </w:p>
    <w:p>
      <w:pPr>
        <w:pStyle w:val="FirstParagraph"/>
      </w:pPr>
      <w:r>
        <w:t xml:space="preserve">This is the most important thing to watch in Wednesday's print. On the Q1 call, management explicitly built its Q2 and full-year guidance around a</w:t>
      </w:r>
      <w:r>
        <w:t xml:space="preserve"> </w:t>
      </w:r>
      <w:r>
        <w:rPr>
          <w:b/>
          <w:bCs/>
        </w:rPr>
        <w:t xml:space="preserve">base case that the Middle East conflict would end during Q2</w:t>
      </w:r>
      <w:r>
        <w:t xml:space="preserve">, with cross-border travel headwinds "largest in Q2" before a "progressive recovery" through the second half. CFO Sachin Mehra sized the exposure: the GCC and Israel together represent roughly 6% of Mastercard's cross-border volumes (both inbound and outbound), and cross-border travel growth had already decelerated sharply — from 8% in Q1 to just 2% in the first four weeks of April — driven by the conflict, portfolio shifts, and holiday timing.</w:t>
      </w:r>
    </w:p>
    <w:p>
      <w:pPr>
        <w:pStyle w:val="BodyText"/>
      </w:pPr>
      <w:r>
        <w:t xml:space="preserve">The problem: that base case did not play out. Instead of de-escalating, the conflict</w:t>
      </w:r>
      <w:r>
        <w:t xml:space="preserve"> </w:t>
      </w:r>
      <w:r>
        <w:rPr>
          <w:b/>
          <w:bCs/>
        </w:rPr>
        <w:t xml:space="preserve">re-intensified through July</w:t>
      </w:r>
      <w:r>
        <w:t xml:space="preserve">, with U.S. and Iranian strikes, U.S.-Saudi joint action against Iran-backed forces in Iraq, and Brent crude spiking toward $100/barrel amid concerns about Strait of Hormuz disruption. If the conflict remained hot through most of Q2 rather than resolving as assumed, cross-border travel growth (and the associated Transaction Processing/Cross-Border Assessment yield) could be a bigger drag than guided, and management's assumed H2 "recovery" trajectory may need to be pushed out. Investors should listen closely for:</w:t>
      </w:r>
    </w:p>
    <w:p>
      <w:pPr>
        <w:pStyle w:val="Compact"/>
        <w:numPr>
          <w:ilvl w:val="0"/>
          <w:numId w:val="1001"/>
        </w:numPr>
      </w:pPr>
      <w:r>
        <w:t xml:space="preserve">Whether Q2 net revenue growth landed at or below the "low end of low-double-digits" guide</w:t>
      </w:r>
    </w:p>
    <w:p>
      <w:pPr>
        <w:pStyle w:val="Compact"/>
        <w:numPr>
          <w:ilvl w:val="0"/>
          <w:numId w:val="1001"/>
        </w:numPr>
      </w:pPr>
      <w:r>
        <w:t xml:space="preserve">Updated commentary on the pace of cross-border travel recovery into Q3/Q4</w:t>
      </w:r>
    </w:p>
    <w:p>
      <w:pPr>
        <w:pStyle w:val="Compact"/>
        <w:numPr>
          <w:ilvl w:val="0"/>
          <w:numId w:val="1001"/>
        </w:numPr>
      </w:pPr>
      <w:r>
        <w:t xml:space="preserve">Any change to the full-year guide (previously reiterated at the</w:t>
      </w:r>
      <w:r>
        <w:t xml:space="preserve"> </w:t>
      </w:r>
      <w:r>
        <w:rPr>
          <w:b/>
          <w:bCs/>
        </w:rPr>
        <w:t xml:space="preserve">high end of low-double-digits</w:t>
      </w:r>
      <w:r>
        <w:t xml:space="preserve"> </w:t>
      </w:r>
      <w:r>
        <w:t xml:space="preserve">currency-neutral revenue growth, with the raise from Q1 driven mostly by FX, not underlying trends)</w:t>
      </w:r>
    </w:p>
    <w:bookmarkEnd w:id="11"/>
    <w:bookmarkStart w:id="12" w:name="other-key-watch-items"/>
    <w:p>
      <w:pPr>
        <w:pStyle w:val="Heading2"/>
      </w:pPr>
      <w:r>
        <w:t xml:space="preserve">Other Key Watch Items</w:t>
      </w:r>
    </w:p>
    <w:p>
      <w:pPr>
        <w:pStyle w:val="FirstParagraph"/>
      </w:pPr>
      <w:r>
        <w:rPr>
          <w:b/>
          <w:bCs/>
        </w:rPr>
        <w:t xml:space="preserve">Value-Added Services momentum</w:t>
      </w:r>
      <w:r>
        <w:t xml:space="preserve"> </w:t>
      </w:r>
      <w:r>
        <w:t xml:space="preserve">— VAS has been the standout growth engine (18% currency-neutral in Q1, on top of 22% in Q4). Watch for continued strength in cybersecurity (Recorded Future/Mastercard Threat Intelligence, cited as growing meaningfully with 500+ customers), Ethoca dispute-resolution products (~25% y/y growth), and consulting/marketing services, where management noted nearly three-quarters of 2024 customers returned and increased usage over 20% in 2025.</w:t>
      </w:r>
    </w:p>
    <w:p>
      <w:pPr>
        <w:pStyle w:val="BodyText"/>
      </w:pPr>
      <w:r>
        <w:rPr>
          <w:b/>
          <w:bCs/>
        </w:rPr>
        <w:t xml:space="preserve">Capital returns</w:t>
      </w:r>
      <w:r>
        <w:t xml:space="preserve"> </w:t>
      </w:r>
      <w:r>
        <w:t xml:space="preserve">— Mastercard "accelerated the pace" of buybacks in Q1, repurchasing $4.0 billion of stock plus another $1.7 billion through late April, leaving $11.7 billion under authorization. Given the stock's subsequent rally, it will be worth checking whether the buyback pace held up at higher valuation levels.</w:t>
      </w:r>
    </w:p>
    <w:p>
      <w:pPr>
        <w:pStyle w:val="BodyText"/>
      </w:pPr>
      <w:r>
        <w:rPr>
          <w:b/>
          <w:bCs/>
        </w:rPr>
        <w:t xml:space="preserve">Portfolio and mix effects</w:t>
      </w:r>
      <w:r>
        <w:t xml:space="preserve"> </w:t>
      </w:r>
      <w:r>
        <w:t xml:space="preserve">— The Capital One debit migration is now largely complete, removing a modest drag on U.S. switched volume/transaction growth. Watch for confirmation this lapped cleanly, and any fresh commentary on new wins (Amazon's U.S. small-business co-brand moving from a competitor, CIB Egypt, Westpac renewal, World Legend affluent card rollout) versus losses, which management said will continue to be a normal part of the business.</w:t>
      </w:r>
    </w:p>
    <w:p>
      <w:pPr>
        <w:pStyle w:val="BodyText"/>
      </w:pPr>
      <w:r>
        <w:rPr>
          <w:b/>
          <w:bCs/>
        </w:rPr>
        <w:t xml:space="preserve">Stablecoins/BVNK and Agentic Commerce</w:t>
      </w:r>
      <w:r>
        <w:t xml:space="preserve"> </w:t>
      </w:r>
      <w:r>
        <w:t xml:space="preserve">— Mastercard's pending ~$1.8 billion acquisition of stablecoin infrastructure firm BVNK is expected to close in late 2026, subject to regulatory approval. BVNK's team will join Mastercard following the close, which is expected in late 2026. Expect an update on integration planning, plus continued color on Mastercard Agent Pay adoption (nearly all cards enabled) and progress (or lack thereof) on the U.S. CLARITY Act, which management has said isn't a gating factor for its digital-asset strategy but would provide added regulatory tailwind if passed.</w:t>
      </w:r>
    </w:p>
    <w:p>
      <w:pPr>
        <w:pStyle w:val="BodyText"/>
      </w:pPr>
      <w:r>
        <w:rPr>
          <w:b/>
          <w:bCs/>
        </w:rPr>
        <w:t xml:space="preserve">Rebates &amp; incentives / yield</w:t>
      </w:r>
      <w:r>
        <w:t xml:space="preserve"> </w:t>
      </w:r>
      <w:r>
        <w:t xml:space="preserve">— Management guided rebates and incentives as a percentage of payment network assessments to be slightly lower sequentially in Q2; worth confirming given the deal pipeline remains active.</w:t>
      </w:r>
    </w:p>
    <w:p>
      <w:pPr>
        <w:pStyle w:val="BodyText"/>
      </w:pPr>
      <w:r>
        <w:rPr>
          <w:b/>
          <w:bCs/>
        </w:rPr>
        <w:t xml:space="preserve">Cost discipline</w:t>
      </w:r>
      <w:r>
        <w:t xml:space="preserve"> </w:t>
      </w:r>
      <w:r>
        <w:t xml:space="preserve">— Visa's decision to cut 7% of its workforce ahead of its own print may prompt questions about Mastercard's own opex trajectory (guided to low-double-digit currency-neutral growth in Q2, roughly matching revenue growth) and whether the Q1 restructuring charge signals further efficiency actions ahead.</w:t>
      </w:r>
    </w:p>
    <w:bookmarkEnd w:id="12"/>
    <w:bookmarkStart w:id="13" w:name="bottom-line"/>
    <w:p>
      <w:pPr>
        <w:pStyle w:val="Heading2"/>
      </w:pPr>
      <w:r>
        <w:t xml:space="preserve">Bottom Line</w:t>
      </w:r>
    </w:p>
    <w:p>
      <w:pPr>
        <w:pStyle w:val="FirstParagraph"/>
      </w:pPr>
      <w:r>
        <w:t xml:space="preserve">Mastercard heads into Thursday's print with a healthy underlying consumer/business spending backdrop, a VAS engine still growing in the high-teens, and a peer (Visa) that just posted strong volume and services numbers. The key uncertainty is whether the escalation — rather than resolution — of the Middle East conflict through Q2 forces management to walk back the recovery timeline it laid out just three months ago, particularly for cross-border travel. With the stock near highs into the print, the market may be pricing a clean beat-and-hold (or raise); any incremental caution on the cross-border outlook, even amid a headline beat, could be the swing factor for the reaction.</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2026-07-29T18:33:31Z</dcterms:created>
  <dcterms:modified xsi:type="dcterms:W3CDTF">2026-07-29T18:33:31Z</dcterms:modified>
</cp:coreProperties>
</file>

<file path=docProps/custom.xml><?xml version="1.0" encoding="utf-8"?>
<Properties xmlns="http://schemas.openxmlformats.org/officeDocument/2006/custom-properties" xmlns:vt="http://schemas.openxmlformats.org/officeDocument/2006/docPropsVTypes"/>
</file>