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mastercard-ma--q2-2026-earnings-preview"/>
    <w:p>
      <w:pPr>
        <w:pStyle w:val="Heading1"/>
      </w:pPr>
      <w:r>
        <w:t xml:space="preserve">Mastercard (MA) — Q2 2026 Earnings Preview</w:t>
      </w:r>
    </w:p>
    <w:p>
      <w:pPr>
        <w:pStyle w:val="FirstParagraph"/>
      </w:pPr>
      <w:r>
        <w:rPr>
          <w:b/>
          <w:bCs/>
        </w:rPr>
        <w:t xml:space="preserve">Report date:</w:t>
      </w:r>
      <w:r>
        <w:t xml:space="preserve"> </w:t>
      </w:r>
      <w:r>
        <w:t xml:space="preserve">Thursday, July 30, 2026, before the U.S. market open</w:t>
      </w:r>
      <w:r>
        <w:br/>
      </w:r>
      <w:r>
        <w:rPr>
          <w:b/>
          <w:bCs/>
        </w:rPr>
        <w:t xml:space="preserve">Event:</w:t>
      </w:r>
      <w:r>
        <w:t xml:space="preserve"> </w:t>
      </w:r>
      <w:r>
        <w:t xml:space="preserve">2026 Q2 earnings call</w:t>
      </w:r>
      <w:r>
        <w:br/>
      </w:r>
      <w:r>
        <w:rPr>
          <w:b/>
          <w:bCs/>
        </w:rPr>
        <w:t xml:space="preserve">Share price:</w:t>
      </w:r>
      <w:r>
        <w:t xml:space="preserve"> </w:t>
      </w:r>
      <w:r>
        <w:t xml:space="preserve">$565.21 as of July 29</w:t>
      </w:r>
    </w:p>
    <w:bookmarkStart w:id="9" w:name="executive-view"/>
    <w:p>
      <w:pPr>
        <w:pStyle w:val="Heading2"/>
      </w:pPr>
      <w:r>
        <w:t xml:space="preserve">Executive view</w:t>
      </w:r>
    </w:p>
    <w:p>
      <w:pPr>
        <w:pStyle w:val="FirstParagraph"/>
      </w:pPr>
      <w:r>
        <w:t xml:space="preserve">The setup is constructive, but expectations have risen following strong results from Visa and a roughly 12% rebound in Mastercard shares since its first-quarter report.</w:t>
      </w:r>
    </w:p>
    <w:p>
      <w:pPr>
        <w:pStyle w:val="BodyText"/>
      </w:pPr>
      <w:r>
        <w:t xml:space="preserve">The central question is not whether Mastercard can produce another quarter of double-digit growth. That is broadly expected. Investors will instead focus on:</w:t>
      </w:r>
    </w:p>
    <w:p>
      <w:pPr>
        <w:pStyle w:val="Compact"/>
        <w:numPr>
          <w:ilvl w:val="0"/>
          <w:numId w:val="1001"/>
        </w:numPr>
      </w:pPr>
      <w:r>
        <w:rPr>
          <w:b/>
          <w:bCs/>
        </w:rPr>
        <w:t xml:space="preserve">Whether cross-border travel held up despite the Middle East conflict</w:t>
      </w:r>
    </w:p>
    <w:p>
      <w:pPr>
        <w:pStyle w:val="Compact"/>
        <w:numPr>
          <w:ilvl w:val="0"/>
          <w:numId w:val="1001"/>
        </w:numPr>
      </w:pPr>
      <w:r>
        <w:rPr>
          <w:b/>
          <w:bCs/>
        </w:rPr>
        <w:t xml:space="preserve">Whether value-added services sustained high-teens organic growth</w:t>
      </w:r>
    </w:p>
    <w:p>
      <w:pPr>
        <w:pStyle w:val="Compact"/>
        <w:numPr>
          <w:ilvl w:val="0"/>
          <w:numId w:val="1001"/>
        </w:numPr>
      </w:pPr>
      <w:r>
        <w:rPr>
          <w:b/>
          <w:bCs/>
        </w:rPr>
        <w:t xml:space="preserve">Whether management maintains or raises its full-year outlook</w:t>
      </w:r>
    </w:p>
    <w:p>
      <w:pPr>
        <w:pStyle w:val="Compact"/>
        <w:numPr>
          <w:ilvl w:val="0"/>
          <w:numId w:val="1001"/>
        </w:numPr>
      </w:pPr>
      <w:r>
        <w:rPr>
          <w:b/>
          <w:bCs/>
        </w:rPr>
        <w:t xml:space="preserve">Whether revenue growth continues to outpace expenses</w:t>
      </w:r>
    </w:p>
    <w:p>
      <w:pPr>
        <w:pStyle w:val="FirstParagraph"/>
      </w:pPr>
      <w:r>
        <w:t xml:space="preserve">Visa’s results provide a favorable industry read-through: calendar-Q2 payments volume rose 10%, total cross-border volume grew 13%, and processed transactions increased 10%. Visa also reported improving cross-border trends through July 21. Mastercard has company-specific headwinds, however, including travel-heavy portfolio shifts and greater sensitivity to the conflict in the Middle East.</w:t>
      </w:r>
    </w:p>
    <w:p>
      <w:pPr>
        <w:pStyle w:val="BodyText"/>
      </w:pPr>
      <w:r>
        <w:t xml:space="preserve">My base case is a modest revenue and EPS beat with full-year guidance reiterated or tightened toward the upper end. A larger positive reaction likely requires either an outlook increase or evidence that cross-border growth has reaccelerated into July.</w:t>
      </w:r>
    </w:p>
    <w:p>
      <w:r>
        <w:pict>
          <v:rect style="width:0;height:1.5pt" o:hralign="center" o:hrstd="t" o:hr="t"/>
        </w:pict>
      </w:r>
    </w:p>
    <w:bookmarkEnd w:id="9"/>
    <w:bookmarkStart w:id="11" w:name="X7535e5d1b97cd2557a2a6f3600261a463ff88b9"/>
    <w:p>
      <w:pPr>
        <w:pStyle w:val="Heading2"/>
      </w:pPr>
      <w:r>
        <w:t xml:space="preserve">Street expectations and management’s framework</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Q2 2026 expectation</w:t>
            </w:r>
          </w:p>
        </w:tc>
        <w:tc>
          <w:tcPr/>
          <w:p>
            <w:pPr>
              <w:pStyle w:val="Compact"/>
              <w:jc w:val="right"/>
            </w:pPr>
            <w:r>
              <w:t xml:space="preserve">Q2 2025 actual</w:t>
            </w:r>
          </w:p>
        </w:tc>
        <w:tc>
          <w:tcPr/>
          <w:p>
            <w:pPr>
              <w:pStyle w:val="Compact"/>
              <w:jc w:val="right"/>
            </w:pPr>
            <w:r>
              <w:t xml:space="preserve">Implied growth</w:t>
            </w:r>
          </w:p>
        </w:tc>
      </w:tr>
      <w:tr>
        <w:tc>
          <w:tcPr/>
          <w:p>
            <w:pPr>
              <w:pStyle w:val="Compact"/>
            </w:pPr>
            <w:r>
              <w:t xml:space="preserve">Net revenue</w:t>
            </w:r>
          </w:p>
        </w:tc>
        <w:tc>
          <w:tcPr/>
          <w:p>
            <w:pPr>
              <w:pStyle w:val="Compact"/>
              <w:jc w:val="right"/>
            </w:pPr>
            <w:r>
              <w:rPr>
                <w:b/>
                <w:bCs/>
              </w:rPr>
              <w:t xml:space="preserve">$9.07 billion</w:t>
            </w:r>
          </w:p>
        </w:tc>
        <w:tc>
          <w:tcPr/>
          <w:p>
            <w:pPr>
              <w:pStyle w:val="Compact"/>
              <w:jc w:val="right"/>
            </w:pPr>
            <w:r>
              <w:t xml:space="preserve">$8.13 billion</w:t>
            </w:r>
          </w:p>
        </w:tc>
        <w:tc>
          <w:tcPr/>
          <w:p>
            <w:pPr>
              <w:pStyle w:val="Compact"/>
              <w:jc w:val="right"/>
            </w:pPr>
            <w:r>
              <w:rPr>
                <w:b/>
                <w:bCs/>
              </w:rPr>
              <w:t xml:space="preserve">~11.5%</w:t>
            </w:r>
          </w:p>
        </w:tc>
      </w:tr>
      <w:tr>
        <w:tc>
          <w:tcPr/>
          <w:p>
            <w:pPr>
              <w:pStyle w:val="Compact"/>
            </w:pPr>
            <w:r>
              <w:t xml:space="preserve">Adjusted EPS</w:t>
            </w:r>
          </w:p>
        </w:tc>
        <w:tc>
          <w:tcPr/>
          <w:p>
            <w:pPr>
              <w:pStyle w:val="Compact"/>
              <w:jc w:val="right"/>
            </w:pPr>
            <w:r>
              <w:rPr>
                <w:b/>
                <w:bCs/>
              </w:rPr>
              <w:t xml:space="preserve">$4.77</w:t>
            </w:r>
          </w:p>
        </w:tc>
        <w:tc>
          <w:tcPr/>
          <w:p>
            <w:pPr>
              <w:pStyle w:val="Compact"/>
              <w:jc w:val="right"/>
            </w:pPr>
            <w:r>
              <w:t xml:space="preserve">$4.15</w:t>
            </w:r>
          </w:p>
        </w:tc>
        <w:tc>
          <w:tcPr/>
          <w:p>
            <w:pPr>
              <w:pStyle w:val="Compact"/>
              <w:jc w:val="right"/>
            </w:pPr>
            <w:r>
              <w:rPr>
                <w:b/>
                <w:bCs/>
              </w:rPr>
              <w:t xml:space="preserve">~15%</w:t>
            </w:r>
          </w:p>
        </w:tc>
      </w:tr>
    </w:tbl>
    <w:bookmarkStart w:id="10" w:name="mastercards-prior-q2-guidance"/>
    <w:p>
      <w:pPr>
        <w:pStyle w:val="Heading3"/>
      </w:pPr>
      <w:r>
        <w:t xml:space="preserve">Mastercard’s prior Q2 guidance</w:t>
      </w:r>
    </w:p>
    <w:p>
      <w:pPr>
        <w:pStyle w:val="FirstParagraph"/>
      </w:pPr>
      <w:r>
        <w:t xml:space="preserve">Management entered the quarter expecting:</w:t>
      </w:r>
    </w:p>
    <w:p>
      <w:pPr>
        <w:pStyle w:val="Compact"/>
        <w:numPr>
          <w:ilvl w:val="0"/>
          <w:numId w:val="1002"/>
        </w:numPr>
      </w:pPr>
      <w:r>
        <w:rPr>
          <w:b/>
          <w:bCs/>
        </w:rPr>
        <w:t xml:space="preserve">Net revenue growth at the low end of the low-double-digit range</w:t>
      </w:r>
      <w:r>
        <w:t xml:space="preserve">, currency-neutral and excluding inorganic activity</w:t>
      </w:r>
    </w:p>
    <w:p>
      <w:pPr>
        <w:pStyle w:val="Compact"/>
        <w:numPr>
          <w:ilvl w:val="0"/>
          <w:numId w:val="1002"/>
        </w:numPr>
      </w:pPr>
      <w:r>
        <w:t xml:space="preserve">A</w:t>
      </w:r>
      <w:r>
        <w:t xml:space="preserve"> </w:t>
      </w:r>
      <w:r>
        <w:rPr>
          <w:b/>
          <w:bCs/>
        </w:rPr>
        <w:t xml:space="preserve">1–2 percentage-point reported revenue tailwind from FX</w:t>
      </w:r>
    </w:p>
    <w:p>
      <w:pPr>
        <w:pStyle w:val="Compact"/>
        <w:numPr>
          <w:ilvl w:val="0"/>
          <w:numId w:val="1002"/>
        </w:numPr>
      </w:pPr>
      <w:r>
        <w:t xml:space="preserve">Adjusted operating expense growth at the</w:t>
      </w:r>
      <w:r>
        <w:t xml:space="preserve"> </w:t>
      </w:r>
      <w:r>
        <w:rPr>
          <w:b/>
          <w:bCs/>
        </w:rPr>
        <w:t xml:space="preserve">low end of the low-double-digit range</w:t>
      </w:r>
      <w:r>
        <w:t xml:space="preserve">, currency-neutral and excluding inorganic activity</w:t>
      </w:r>
    </w:p>
    <w:p>
      <w:pPr>
        <w:pStyle w:val="Compact"/>
        <w:numPr>
          <w:ilvl w:val="0"/>
          <w:numId w:val="1002"/>
        </w:numPr>
      </w:pPr>
      <w:r>
        <w:t xml:space="preserve">Approximately</w:t>
      </w:r>
      <w:r>
        <w:t xml:space="preserve"> </w:t>
      </w:r>
      <w:r>
        <w:rPr>
          <w:b/>
          <w:bCs/>
        </w:rPr>
        <w:t xml:space="preserve">$150 million of adjusted other expense</w:t>
      </w:r>
    </w:p>
    <w:p>
      <w:pPr>
        <w:pStyle w:val="Compact"/>
        <w:numPr>
          <w:ilvl w:val="0"/>
          <w:numId w:val="1002"/>
        </w:numPr>
      </w:pPr>
      <w:r>
        <w:t xml:space="preserve">A</w:t>
      </w:r>
      <w:r>
        <w:t xml:space="preserve"> </w:t>
      </w:r>
      <w:r>
        <w:rPr>
          <w:b/>
          <w:bCs/>
        </w:rPr>
        <w:t xml:space="preserve">20%–21% adjusted tax rate</w:t>
      </w:r>
    </w:p>
    <w:p>
      <w:pPr>
        <w:pStyle w:val="Compact"/>
        <w:numPr>
          <w:ilvl w:val="0"/>
          <w:numId w:val="1002"/>
        </w:numPr>
      </w:pPr>
      <w:r>
        <w:t xml:space="preserve">Rebates and incentives as a percentage of payment-network assessments to be</w:t>
      </w:r>
      <w:r>
        <w:t xml:space="preserve"> </w:t>
      </w:r>
      <w:r>
        <w:rPr>
          <w:b/>
          <w:bCs/>
        </w:rPr>
        <w:t xml:space="preserve">slightly lower sequentially</w:t>
      </w:r>
    </w:p>
    <w:p>
      <w:pPr>
        <w:pStyle w:val="FirstParagraph"/>
      </w:pPr>
      <w:r>
        <w:t xml:space="preserve">The $9.07 billion consensus implies approximately 11.5% reported growth, broadly consistent with that framework after accounting for currency.</w:t>
      </w:r>
    </w:p>
    <w:p>
      <w:pPr>
        <w:pStyle w:val="BodyText"/>
      </w:pPr>
      <w:r>
        <w:t xml:space="preserve">For the full year, Mastercard previously guided to:</w:t>
      </w:r>
    </w:p>
    <w:p>
      <w:pPr>
        <w:pStyle w:val="Compact"/>
        <w:numPr>
          <w:ilvl w:val="0"/>
          <w:numId w:val="1003"/>
        </w:numPr>
      </w:pPr>
      <w:r>
        <w:t xml:space="preserve">Currency-neutral net revenue growth at the</w:t>
      </w:r>
      <w:r>
        <w:t xml:space="preserve"> </w:t>
      </w:r>
      <w:r>
        <w:rPr>
          <w:b/>
          <w:bCs/>
        </w:rPr>
        <w:t xml:space="preserve">high end of the low-double-digit range</w:t>
      </w:r>
    </w:p>
    <w:p>
      <w:pPr>
        <w:pStyle w:val="Compact"/>
        <w:numPr>
          <w:ilvl w:val="0"/>
          <w:numId w:val="1003"/>
        </w:numPr>
      </w:pPr>
      <w:r>
        <w:t xml:space="preserve">Low-double-digit adjusted operating expense growth</w:t>
      </w:r>
    </w:p>
    <w:p>
      <w:pPr>
        <w:pStyle w:val="Compact"/>
        <w:numPr>
          <w:ilvl w:val="0"/>
          <w:numId w:val="1003"/>
        </w:numPr>
      </w:pPr>
      <w:r>
        <w:t xml:space="preserve">Approximately a</w:t>
      </w:r>
      <w:r>
        <w:t xml:space="preserve"> </w:t>
      </w:r>
      <w:r>
        <w:rPr>
          <w:b/>
          <w:bCs/>
        </w:rPr>
        <w:t xml:space="preserve">1.5-point revenue benefit from FX</w:t>
      </w:r>
    </w:p>
    <w:p>
      <w:pPr>
        <w:pStyle w:val="Compact"/>
        <w:numPr>
          <w:ilvl w:val="0"/>
          <w:numId w:val="1003"/>
        </w:numPr>
      </w:pPr>
      <w:r>
        <w:t xml:space="preserve">A 20%–21% adjusted tax rate</w:t>
      </w:r>
    </w:p>
    <w:p>
      <w:pPr>
        <w:pStyle w:val="FirstParagraph"/>
      </w:pPr>
      <w:r>
        <w:t xml:space="preserve">The full-year revenue outlook will probably be the most important number in the release.</w:t>
      </w:r>
    </w:p>
    <w:p>
      <w:r>
        <w:pict>
          <v:rect style="width:0;height:1.5pt" o:hralign="center" o:hrstd="t" o:hr="t"/>
        </w:pict>
      </w:r>
    </w:p>
    <w:bookmarkEnd w:id="10"/>
    <w:bookmarkEnd w:id="11"/>
    <w:bookmarkStart w:id="17" w:name="what-matters-most"/>
    <w:p>
      <w:pPr>
        <w:pStyle w:val="Heading2"/>
      </w:pPr>
      <w:r>
        <w:t xml:space="preserve">What matters most</w:t>
      </w:r>
    </w:p>
    <w:bookmarkStart w:id="12" w:name="Xfb548716e36e686af3efead0c7d642ef4fad1e1"/>
    <w:p>
      <w:pPr>
        <w:pStyle w:val="Heading3"/>
      </w:pPr>
      <w:r>
        <w:t xml:space="preserve">1. Cross-border: favorable peer data, but Mastercard has extra moving parts</w:t>
      </w:r>
    </w:p>
    <w:p>
      <w:pPr>
        <w:pStyle w:val="FirstParagraph"/>
      </w:pPr>
      <w:r>
        <w:t xml:space="preserve">Cross-border is Mastercard’s highest-sensitivity operating driver because international transactions generally carry attractive economics.</w:t>
      </w:r>
    </w:p>
    <w:p>
      <w:pPr>
        <w:pStyle w:val="BodyText"/>
      </w:pPr>
      <w:r>
        <w:t xml:space="preserve">In Q1:</w:t>
      </w:r>
    </w:p>
    <w:p>
      <w:pPr>
        <w:pStyle w:val="Compact"/>
        <w:numPr>
          <w:ilvl w:val="0"/>
          <w:numId w:val="1004"/>
        </w:numPr>
      </w:pPr>
      <w:r>
        <w:t xml:space="preserve">Cross-border volume increased</w:t>
      </w:r>
      <w:r>
        <w:t xml:space="preserve"> </w:t>
      </w:r>
      <w:r>
        <w:rPr>
          <w:b/>
          <w:bCs/>
        </w:rPr>
        <w:t xml:space="preserve">13%</w:t>
      </w:r>
    </w:p>
    <w:p>
      <w:pPr>
        <w:pStyle w:val="Compact"/>
        <w:numPr>
          <w:ilvl w:val="0"/>
          <w:numId w:val="1004"/>
        </w:numPr>
      </w:pPr>
      <w:r>
        <w:t xml:space="preserve">Cross-border card-not-present volume excluding travel grew</w:t>
      </w:r>
      <w:r>
        <w:t xml:space="preserve"> </w:t>
      </w:r>
      <w:r>
        <w:rPr>
          <w:b/>
          <w:bCs/>
        </w:rPr>
        <w:t xml:space="preserve">18%</w:t>
      </w:r>
    </w:p>
    <w:p>
      <w:pPr>
        <w:pStyle w:val="Compact"/>
        <w:numPr>
          <w:ilvl w:val="0"/>
          <w:numId w:val="1004"/>
        </w:numPr>
      </w:pPr>
      <w:r>
        <w:t xml:space="preserve">Cross-border travel growth was</w:t>
      </w:r>
      <w:r>
        <w:t xml:space="preserve"> </w:t>
      </w:r>
      <w:r>
        <w:rPr>
          <w:b/>
          <w:bCs/>
        </w:rPr>
        <w:t xml:space="preserve">8%</w:t>
      </w:r>
    </w:p>
    <w:p>
      <w:pPr>
        <w:pStyle w:val="Compact"/>
        <w:numPr>
          <w:ilvl w:val="0"/>
          <w:numId w:val="1004"/>
        </w:numPr>
      </w:pPr>
      <w:r>
        <w:t xml:space="preserve">Travel growth slowed to approximately</w:t>
      </w:r>
      <w:r>
        <w:t xml:space="preserve"> </w:t>
      </w:r>
      <w:r>
        <w:rPr>
          <w:b/>
          <w:bCs/>
        </w:rPr>
        <w:t xml:space="preserve">2% during the first four weeks of April</w:t>
      </w:r>
    </w:p>
    <w:p>
      <w:pPr>
        <w:pStyle w:val="FirstParagraph"/>
      </w:pPr>
      <w:r>
        <w:t xml:space="preserve">Management attributed the April deceleration to three factors:</w:t>
      </w:r>
    </w:p>
    <w:p>
      <w:pPr>
        <w:pStyle w:val="Compact"/>
        <w:numPr>
          <w:ilvl w:val="0"/>
          <w:numId w:val="1005"/>
        </w:numPr>
      </w:pPr>
      <w:r>
        <w:t xml:space="preserve">The conflict in the Middle East</w:t>
      </w:r>
    </w:p>
    <w:p>
      <w:pPr>
        <w:pStyle w:val="Compact"/>
        <w:numPr>
          <w:ilvl w:val="0"/>
          <w:numId w:val="1005"/>
        </w:numPr>
      </w:pPr>
      <w:r>
        <w:t xml:space="preserve">Travel-heavy portfolio shifts</w:t>
      </w:r>
    </w:p>
    <w:p>
      <w:pPr>
        <w:pStyle w:val="Compact"/>
        <w:numPr>
          <w:ilvl w:val="0"/>
          <w:numId w:val="1005"/>
        </w:numPr>
      </w:pPr>
      <w:r>
        <w:t xml:space="preserve">Ramadan and Easter timing</w:t>
      </w:r>
    </w:p>
    <w:p>
      <w:pPr>
        <w:pStyle w:val="FirstParagraph"/>
      </w:pPr>
      <w:r>
        <w:t xml:space="preserve">Mastercard estimated that the Gulf Cooperation Council countries and Israel represented roughly 6% of its cross-border volume, counting inbound and outbound activity.</w:t>
      </w:r>
    </w:p>
    <w:p>
      <w:pPr>
        <w:pStyle w:val="BodyText"/>
      </w:pPr>
      <w:r>
        <w:t xml:space="preserve">The original full-year outlook assumed the conflict would end during Q2, with the largest impact in Q2 followed by progressive recovery during the second half. That assumption did not fully play out. Nevertheless, Visa’s calendar-Q2 results suggest the broader cross-border market remained healthy:</w:t>
      </w:r>
    </w:p>
    <w:p>
      <w:pPr>
        <w:pStyle w:val="Compact"/>
        <w:numPr>
          <w:ilvl w:val="0"/>
          <w:numId w:val="1006"/>
        </w:numPr>
      </w:pPr>
      <w:r>
        <w:t xml:space="preserve">Total cross-border volume:</w:t>
      </w:r>
      <w:r>
        <w:t xml:space="preserve"> </w:t>
      </w:r>
      <w:r>
        <w:rPr>
          <w:b/>
          <w:bCs/>
        </w:rPr>
        <w:t xml:space="preserve">+13%</w:t>
      </w:r>
    </w:p>
    <w:p>
      <w:pPr>
        <w:pStyle w:val="Compact"/>
        <w:numPr>
          <w:ilvl w:val="0"/>
          <w:numId w:val="1006"/>
        </w:numPr>
      </w:pPr>
      <w:r>
        <w:t xml:space="preserve">Cross-border excluding intra-Europe:</w:t>
      </w:r>
      <w:r>
        <w:t xml:space="preserve"> </w:t>
      </w:r>
      <w:r>
        <w:rPr>
          <w:b/>
          <w:bCs/>
        </w:rPr>
        <w:t xml:space="preserve">+12%</w:t>
      </w:r>
    </w:p>
    <w:p>
      <w:pPr>
        <w:pStyle w:val="Compact"/>
        <w:numPr>
          <w:ilvl w:val="0"/>
          <w:numId w:val="1006"/>
        </w:numPr>
      </w:pPr>
      <w:r>
        <w:t xml:space="preserve">Travel-related cross-border:</w:t>
      </w:r>
      <w:r>
        <w:t xml:space="preserve"> </w:t>
      </w:r>
      <w:r>
        <w:rPr>
          <w:b/>
          <w:bCs/>
        </w:rPr>
        <w:t xml:space="preserve">+10%</w:t>
      </w:r>
    </w:p>
    <w:p>
      <w:pPr>
        <w:pStyle w:val="Compact"/>
        <w:numPr>
          <w:ilvl w:val="0"/>
          <w:numId w:val="1006"/>
        </w:numPr>
      </w:pPr>
      <w:r>
        <w:t xml:space="preserve">Cross-border e-commerce:</w:t>
      </w:r>
      <w:r>
        <w:t xml:space="preserve"> </w:t>
      </w:r>
      <w:r>
        <w:rPr>
          <w:b/>
          <w:bCs/>
        </w:rPr>
        <w:t xml:space="preserve">+16%</w:t>
      </w:r>
    </w:p>
    <w:p>
      <w:pPr>
        <w:pStyle w:val="FirstParagraph"/>
      </w:pPr>
      <w:r>
        <w:t xml:space="preserve">Visa’s trends improved further through July 21, with cross-border volume excluding intra-Europe up 14%, including 12% travel growth. Some of Visa’s June strength came from the FIFA World Cup, so the read-through is not perfect.</w:t>
      </w:r>
    </w:p>
    <w:p>
      <w:pPr>
        <w:pStyle w:val="BodyText"/>
      </w:pPr>
      <w:r>
        <w:rPr>
          <w:b/>
          <w:bCs/>
        </w:rPr>
        <w:t xml:space="preserve">What would be encouraging for Mastercard:</w:t>
      </w:r>
    </w:p>
    <w:p>
      <w:pPr>
        <w:pStyle w:val="Compact"/>
        <w:numPr>
          <w:ilvl w:val="0"/>
          <w:numId w:val="1007"/>
        </w:numPr>
      </w:pPr>
      <w:r>
        <w:t xml:space="preserve">Total cross-border growth remaining around the low teens</w:t>
      </w:r>
    </w:p>
    <w:p>
      <w:pPr>
        <w:pStyle w:val="Compact"/>
        <w:numPr>
          <w:ilvl w:val="0"/>
          <w:numId w:val="1007"/>
        </w:numPr>
      </w:pPr>
      <w:r>
        <w:t xml:space="preserve">Clear acceleration in travel from April’s depressed rate</w:t>
      </w:r>
    </w:p>
    <w:p>
      <w:pPr>
        <w:pStyle w:val="Compact"/>
        <w:numPr>
          <w:ilvl w:val="0"/>
          <w:numId w:val="1007"/>
        </w:numPr>
      </w:pPr>
      <w:r>
        <w:t xml:space="preserve">July trends showing continued improvement</w:t>
      </w:r>
    </w:p>
    <w:p>
      <w:pPr>
        <w:pStyle w:val="Compact"/>
        <w:numPr>
          <w:ilvl w:val="0"/>
          <w:numId w:val="1007"/>
        </w:numPr>
      </w:pPr>
      <w:r>
        <w:t xml:space="preserve">Management retaining confidence in second-half recovery</w:t>
      </w:r>
    </w:p>
    <w:p>
      <w:pPr>
        <w:pStyle w:val="FirstParagraph"/>
      </w:pPr>
      <w:r>
        <w:rPr>
          <w:b/>
          <w:bCs/>
        </w:rPr>
        <w:t xml:space="preserve">What would concern investors:</w:t>
      </w:r>
    </w:p>
    <w:p>
      <w:pPr>
        <w:pStyle w:val="Compact"/>
        <w:numPr>
          <w:ilvl w:val="0"/>
          <w:numId w:val="1008"/>
        </w:numPr>
      </w:pPr>
      <w:r>
        <w:t xml:space="preserve">Cross-border growth falling into the high single digits</w:t>
      </w:r>
    </w:p>
    <w:p>
      <w:pPr>
        <w:pStyle w:val="Compact"/>
        <w:numPr>
          <w:ilvl w:val="0"/>
          <w:numId w:val="1008"/>
        </w:numPr>
      </w:pPr>
      <w:r>
        <w:t xml:space="preserve">Portfolio losses proving more persistent than expected</w:t>
      </w:r>
    </w:p>
    <w:p>
      <w:pPr>
        <w:pStyle w:val="Compact"/>
        <w:numPr>
          <w:ilvl w:val="0"/>
          <w:numId w:val="1008"/>
        </w:numPr>
      </w:pPr>
      <w:r>
        <w:t xml:space="preserve">A weaker second-half travel outlook despite Visa’s favorable read-through</w:t>
      </w:r>
    </w:p>
    <w:p>
      <w:r>
        <w:pict>
          <v:rect style="width:0;height:1.5pt" o:hralign="center" o:hrstd="t" o:hr="t"/>
        </w:pict>
      </w:r>
    </w:p>
    <w:bookmarkEnd w:id="12"/>
    <w:bookmarkStart w:id="13" w:name="X54744508ce4c2ae5269a463eb0f0f9d324bca90"/>
    <w:p>
      <w:pPr>
        <w:pStyle w:val="Heading3"/>
      </w:pPr>
      <w:r>
        <w:t xml:space="preserve">2. Value-added services must remain a durable second growth engine</w:t>
      </w:r>
    </w:p>
    <w:p>
      <w:pPr>
        <w:pStyle w:val="FirstParagraph"/>
      </w:pPr>
      <w:r>
        <w:t xml:space="preserve">Value-added services and solutions account for roughly 40% of Mastercard’s revenue and are increasingly important to the company’s ability to grow faster than payment volumes.</w:t>
      </w:r>
    </w:p>
    <w:p>
      <w:pPr>
        <w:pStyle w:val="BodyText"/>
      </w:pPr>
      <w:r>
        <w:t xml:space="preserve">Q1 value-added services revenue increased:</w:t>
      </w:r>
    </w:p>
    <w:p>
      <w:pPr>
        <w:pStyle w:val="Compact"/>
        <w:numPr>
          <w:ilvl w:val="0"/>
          <w:numId w:val="1009"/>
        </w:numPr>
      </w:pPr>
      <w:r>
        <w:rPr>
          <w:b/>
          <w:bCs/>
        </w:rPr>
        <w:t xml:space="preserve">22% as reported</w:t>
      </w:r>
    </w:p>
    <w:p>
      <w:pPr>
        <w:pStyle w:val="Compact"/>
        <w:numPr>
          <w:ilvl w:val="0"/>
          <w:numId w:val="1009"/>
        </w:numPr>
      </w:pPr>
      <w:r>
        <w:rPr>
          <w:b/>
          <w:bCs/>
        </w:rPr>
        <w:t xml:space="preserve">18% currency-neutral</w:t>
      </w:r>
    </w:p>
    <w:p>
      <w:pPr>
        <w:pStyle w:val="Compact"/>
        <w:numPr>
          <w:ilvl w:val="0"/>
          <w:numId w:val="1009"/>
        </w:numPr>
      </w:pPr>
      <w:r>
        <w:rPr>
          <w:b/>
          <w:bCs/>
        </w:rPr>
        <w:t xml:space="preserve">18% organically</w:t>
      </w:r>
      <w:r>
        <w:t xml:space="preserve">, with no acquisition contribution</w:t>
      </w:r>
    </w:p>
    <w:p>
      <w:pPr>
        <w:pStyle w:val="FirstParagraph"/>
      </w:pPr>
      <w:r>
        <w:t xml:space="preserve">Growth was broad-based across:</w:t>
      </w:r>
    </w:p>
    <w:p>
      <w:pPr>
        <w:pStyle w:val="Compact"/>
        <w:numPr>
          <w:ilvl w:val="0"/>
          <w:numId w:val="1010"/>
        </w:numPr>
      </w:pPr>
      <w:r>
        <w:t xml:space="preserve">Security solutions</w:t>
      </w:r>
    </w:p>
    <w:p>
      <w:pPr>
        <w:pStyle w:val="Compact"/>
        <w:numPr>
          <w:ilvl w:val="0"/>
          <w:numId w:val="1010"/>
        </w:numPr>
      </w:pPr>
      <w:r>
        <w:t xml:space="preserve">Digital and authentication</w:t>
      </w:r>
    </w:p>
    <w:p>
      <w:pPr>
        <w:pStyle w:val="Compact"/>
        <w:numPr>
          <w:ilvl w:val="0"/>
          <w:numId w:val="1010"/>
        </w:numPr>
      </w:pPr>
      <w:r>
        <w:t xml:space="preserve">Business and market insights</w:t>
      </w:r>
    </w:p>
    <w:p>
      <w:pPr>
        <w:pStyle w:val="Compact"/>
        <w:numPr>
          <w:ilvl w:val="0"/>
          <w:numId w:val="1010"/>
        </w:numPr>
      </w:pPr>
      <w:r>
        <w:t xml:space="preserve">Consumer acquisition and engagement</w:t>
      </w:r>
    </w:p>
    <w:p>
      <w:pPr>
        <w:pStyle w:val="Compact"/>
        <w:numPr>
          <w:ilvl w:val="0"/>
          <w:numId w:val="1010"/>
        </w:numPr>
      </w:pPr>
      <w:r>
        <w:t xml:space="preserve">Pricing</w:t>
      </w:r>
    </w:p>
    <w:p>
      <w:pPr>
        <w:pStyle w:val="FirstParagraph"/>
      </w:pPr>
      <w:r>
        <w:t xml:space="preserve">Security is particularly important. Demand for fraud prevention, identity, cybersecurity and threat intelligence is rising as digital commerce becomes more complex. Mastercard said more than 500 customers were already engaged with Mastercard Threat Intelligence, which combines its network data with Recorded Future.</w:t>
      </w:r>
    </w:p>
    <w:p>
      <w:pPr>
        <w:pStyle w:val="BodyText"/>
      </w:pPr>
      <w:r>
        <w:t xml:space="preserve">Visa’s value-added services business grew 34% in constant currency during its latest quarter, including acquisition and event-related benefits. More importantly, Visa said its issuing, acceptance, and risk and security portfolios collectively continued to grow above 20%.</w:t>
      </w:r>
    </w:p>
    <w:p>
      <w:pPr>
        <w:pStyle w:val="BodyText"/>
      </w:pPr>
      <w:r>
        <w:t xml:space="preserve">That raises the bar for Mastercard. Investors will probably view</w:t>
      </w:r>
      <w:r>
        <w:t xml:space="preserve"> </w:t>
      </w:r>
      <w:r>
        <w:rPr>
          <w:b/>
          <w:bCs/>
        </w:rPr>
        <w:t xml:space="preserve">high-teens organic growth</w:t>
      </w:r>
      <w:r>
        <w:t xml:space="preserve"> </w:t>
      </w:r>
      <w:r>
        <w:t xml:space="preserve">as a solid result. A move toward the mid-teens without a clear temporary explanation could raise questions about the medium-term revenue algorithm.</w:t>
      </w:r>
    </w:p>
    <w:p>
      <w:r>
        <w:pict>
          <v:rect style="width:0;height:1.5pt" o:hralign="center" o:hrstd="t" o:hr="t"/>
        </w:pict>
      </w:r>
    </w:p>
    <w:bookmarkEnd w:id="13"/>
    <w:bookmarkStart w:id="14" w:name="X2bd40daa5ee27bb78842a14eaedbcb0f04a6f62"/>
    <w:p>
      <w:pPr>
        <w:pStyle w:val="Heading3"/>
      </w:pPr>
      <w:r>
        <w:t xml:space="preserve">3. The consumer appears resilient—but volume quality matters</w:t>
      </w:r>
    </w:p>
    <w:p>
      <w:pPr>
        <w:pStyle w:val="FirstParagraph"/>
      </w:pPr>
      <w:r>
        <w:t xml:space="preserve">Visa reported broad U.S. strength during calendar Q2:</w:t>
      </w:r>
    </w:p>
    <w:p>
      <w:pPr>
        <w:pStyle w:val="Compact"/>
        <w:numPr>
          <w:ilvl w:val="0"/>
          <w:numId w:val="1011"/>
        </w:numPr>
      </w:pPr>
      <w:r>
        <w:t xml:space="preserve">U.S. payments volume:</w:t>
      </w:r>
      <w:r>
        <w:t xml:space="preserve"> </w:t>
      </w:r>
      <w:r>
        <w:rPr>
          <w:b/>
          <w:bCs/>
        </w:rPr>
        <w:t xml:space="preserve">+10%</w:t>
      </w:r>
    </w:p>
    <w:p>
      <w:pPr>
        <w:pStyle w:val="Compact"/>
        <w:numPr>
          <w:ilvl w:val="0"/>
          <w:numId w:val="1011"/>
        </w:numPr>
      </w:pPr>
      <w:r>
        <w:t xml:space="preserve">Credit volume:</w:t>
      </w:r>
      <w:r>
        <w:t xml:space="preserve"> </w:t>
      </w:r>
      <w:r>
        <w:rPr>
          <w:b/>
          <w:bCs/>
        </w:rPr>
        <w:t xml:space="preserve">+11%</w:t>
      </w:r>
    </w:p>
    <w:p>
      <w:pPr>
        <w:pStyle w:val="Compact"/>
        <w:numPr>
          <w:ilvl w:val="0"/>
          <w:numId w:val="1011"/>
        </w:numPr>
      </w:pPr>
      <w:r>
        <w:t xml:space="preserve">Debit volume:</w:t>
      </w:r>
      <w:r>
        <w:t xml:space="preserve"> </w:t>
      </w:r>
      <w:r>
        <w:rPr>
          <w:b/>
          <w:bCs/>
        </w:rPr>
        <w:t xml:space="preserve">+9%</w:t>
      </w:r>
    </w:p>
    <w:p>
      <w:pPr>
        <w:pStyle w:val="Compact"/>
        <w:numPr>
          <w:ilvl w:val="0"/>
          <w:numId w:val="1011"/>
        </w:numPr>
      </w:pPr>
      <w:r>
        <w:t xml:space="preserve">No visible weakening among lower-spending consumers</w:t>
      </w:r>
    </w:p>
    <w:p>
      <w:pPr>
        <w:pStyle w:val="FirstParagraph"/>
      </w:pPr>
      <w:r>
        <w:t xml:space="preserve">Mastercard’s Q1 U.S. gross dollar volume grew only 4%, but this included the migration of the Capital One debit portfolio. Excluding that migration, U.S. debit growth would have been 7%, rather than the reported 1%.</w:t>
      </w:r>
    </w:p>
    <w:p>
      <w:pPr>
        <w:pStyle w:val="BodyText"/>
      </w:pPr>
      <w:r>
        <w:t xml:space="preserve">The Capital One migration was described as basically complete by the end of Q1. That should reduce the sequential distortion, although year-over-year effects can persist.</w:t>
      </w:r>
    </w:p>
    <w:p>
      <w:pPr>
        <w:pStyle w:val="BodyText"/>
      </w:pPr>
      <w:r>
        <w:t xml:space="preserve">Investors should distinguish between:</w:t>
      </w:r>
    </w:p>
    <w:p>
      <w:pPr>
        <w:pStyle w:val="Compact"/>
        <w:numPr>
          <w:ilvl w:val="0"/>
          <w:numId w:val="1012"/>
        </w:numPr>
      </w:pPr>
      <w:r>
        <w:rPr>
          <w:b/>
          <w:bCs/>
        </w:rPr>
        <w:t xml:space="preserve">Nominal spending supported by inflation or fuel prices</w:t>
      </w:r>
    </w:p>
    <w:p>
      <w:pPr>
        <w:pStyle w:val="Compact"/>
        <w:numPr>
          <w:ilvl w:val="0"/>
          <w:numId w:val="1012"/>
        </w:numPr>
      </w:pPr>
      <w:r>
        <w:t xml:space="preserve">Genuine transaction growth</w:t>
      </w:r>
    </w:p>
    <w:p>
      <w:pPr>
        <w:pStyle w:val="Compact"/>
        <w:numPr>
          <w:ilvl w:val="0"/>
          <w:numId w:val="1012"/>
        </w:numPr>
      </w:pPr>
      <w:r>
        <w:t xml:space="preserve">Higher-value credit and affluent spending</w:t>
      </w:r>
    </w:p>
    <w:p>
      <w:pPr>
        <w:pStyle w:val="Compact"/>
        <w:numPr>
          <w:ilvl w:val="0"/>
          <w:numId w:val="1012"/>
        </w:numPr>
      </w:pPr>
      <w:r>
        <w:t xml:space="preserve">Debit and lower-income consumer activity</w:t>
      </w:r>
    </w:p>
    <w:p>
      <w:pPr>
        <w:pStyle w:val="FirstParagraph"/>
      </w:pPr>
      <w:r>
        <w:t xml:space="preserve">A healthy quarter would combine mid- to high-single-digit gross dollar volume growth with switched-transaction growth near 10%.</w:t>
      </w:r>
    </w:p>
    <w:p>
      <w:r>
        <w:pict>
          <v:rect style="width:0;height:1.5pt" o:hralign="center" o:hrstd="t" o:hr="t"/>
        </w:pict>
      </w:r>
    </w:p>
    <w:bookmarkEnd w:id="14"/>
    <w:bookmarkStart w:id="15" w:name="X54b8986eb27c56a948fc51174bf06fee8dc3f1a"/>
    <w:p>
      <w:pPr>
        <w:pStyle w:val="Heading3"/>
      </w:pPr>
      <w:r>
        <w:t xml:space="preserve">4. Revenue yield and incentives could matter as much as raw volumes</w:t>
      </w:r>
    </w:p>
    <w:p>
      <w:pPr>
        <w:pStyle w:val="FirstParagraph"/>
      </w:pPr>
      <w:r>
        <w:t xml:space="preserve">Mastercard’s Q1 payment-network revenue increased 8% in constant currency, compared with:</w:t>
      </w:r>
    </w:p>
    <w:p>
      <w:pPr>
        <w:pStyle w:val="Compact"/>
        <w:numPr>
          <w:ilvl w:val="0"/>
          <w:numId w:val="1013"/>
        </w:numPr>
      </w:pPr>
      <w:r>
        <w:t xml:space="preserve">Gross dollar volume growth of 7%</w:t>
      </w:r>
    </w:p>
    <w:p>
      <w:pPr>
        <w:pStyle w:val="Compact"/>
        <w:numPr>
          <w:ilvl w:val="0"/>
          <w:numId w:val="1013"/>
        </w:numPr>
      </w:pPr>
      <w:r>
        <w:t xml:space="preserve">Cross-border volume growth of 13%</w:t>
      </w:r>
    </w:p>
    <w:p>
      <w:pPr>
        <w:pStyle w:val="Compact"/>
        <w:numPr>
          <w:ilvl w:val="0"/>
          <w:numId w:val="1013"/>
        </w:numPr>
      </w:pPr>
      <w:r>
        <w:t xml:space="preserve">Switched-transaction growth of 9%</w:t>
      </w:r>
    </w:p>
    <w:p>
      <w:pPr>
        <w:pStyle w:val="FirstParagraph"/>
      </w:pPr>
      <w:r>
        <w:t xml:space="preserve">Pricing and mix supported revenue yield, although rebates and incentives grew 19% in constant currency as Mastercard funded new and renewed customer agreements.</w:t>
      </w:r>
    </w:p>
    <w:p>
      <w:pPr>
        <w:pStyle w:val="BodyText"/>
      </w:pPr>
      <w:r>
        <w:t xml:space="preserve">Management said Q2 rebates and incentives as a percentage of payment-network assessments should decline slightly from Q1. If delivered, that would support net revenue growth and margins even if gross volumes are only in line with expectations.</w:t>
      </w:r>
    </w:p>
    <w:p>
      <w:pPr>
        <w:pStyle w:val="BodyText"/>
      </w:pPr>
      <w:r>
        <w:t xml:space="preserve">Key items to watch:</w:t>
      </w:r>
    </w:p>
    <w:p>
      <w:pPr>
        <w:pStyle w:val="Compact"/>
        <w:numPr>
          <w:ilvl w:val="0"/>
          <w:numId w:val="1014"/>
        </w:numPr>
      </w:pPr>
      <w:r>
        <w:t xml:space="preserve">Domestic-assessment growth relative to gross dollar volume</w:t>
      </w:r>
    </w:p>
    <w:p>
      <w:pPr>
        <w:pStyle w:val="Compact"/>
        <w:numPr>
          <w:ilvl w:val="0"/>
          <w:numId w:val="1014"/>
        </w:numPr>
      </w:pPr>
      <w:r>
        <w:t xml:space="preserve">Cross-border-assessment growth relative to cross-border volume</w:t>
      </w:r>
    </w:p>
    <w:p>
      <w:pPr>
        <w:pStyle w:val="Compact"/>
        <w:numPr>
          <w:ilvl w:val="0"/>
          <w:numId w:val="1014"/>
        </w:numPr>
      </w:pPr>
      <w:r>
        <w:t xml:space="preserve">Transaction-processing revenue relative to switched transactions</w:t>
      </w:r>
    </w:p>
    <w:p>
      <w:pPr>
        <w:pStyle w:val="Compact"/>
        <w:numPr>
          <w:ilvl w:val="0"/>
          <w:numId w:val="1014"/>
        </w:numPr>
      </w:pPr>
      <w:r>
        <w:t xml:space="preserve">The rate of growth in rebates and incentives</w:t>
      </w:r>
    </w:p>
    <w:p>
      <w:pPr>
        <w:pStyle w:val="Compact"/>
        <w:numPr>
          <w:ilvl w:val="0"/>
          <w:numId w:val="1014"/>
        </w:numPr>
      </w:pPr>
      <w:r>
        <w:t xml:space="preserve">Commentary on competitive intensity for issuer portfolios</w:t>
      </w:r>
    </w:p>
    <w:p>
      <w:pPr>
        <w:pStyle w:val="FirstParagraph"/>
      </w:pPr>
      <w:r>
        <w:t xml:space="preserve">Mastercard continues to report a strong pipeline of portfolio wins, but investors will want assurance that those wins are economically attractive and not being purchased through excessive incentives.</w:t>
      </w:r>
    </w:p>
    <w:p>
      <w:r>
        <w:pict>
          <v:rect style="width:0;height:1.5pt" o:hralign="center" o:hrstd="t" o:hr="t"/>
        </w:pict>
      </w:r>
    </w:p>
    <w:bookmarkEnd w:id="15"/>
    <w:bookmarkStart w:id="16" w:name="X414c6e008d3bf513fc292896f2d6fc0660d4773"/>
    <w:p>
      <w:pPr>
        <w:pStyle w:val="Heading3"/>
      </w:pPr>
      <w:r>
        <w:t xml:space="preserve">5. EPS quality and operating leverage</w:t>
      </w:r>
    </w:p>
    <w:p>
      <w:pPr>
        <w:pStyle w:val="FirstParagraph"/>
      </w:pPr>
      <w:r>
        <w:t xml:space="preserve">Consensus expects adjusted EPS to rise approximately 15%, faster than the expected 11.5% revenue increase.</w:t>
      </w:r>
    </w:p>
    <w:p>
      <w:pPr>
        <w:pStyle w:val="BodyText"/>
      </w:pPr>
      <w:r>
        <w:t xml:space="preserve">Potential sources of EPS leverage include:</w:t>
      </w:r>
    </w:p>
    <w:p>
      <w:pPr>
        <w:pStyle w:val="Compact"/>
        <w:numPr>
          <w:ilvl w:val="0"/>
          <w:numId w:val="1015"/>
        </w:numPr>
      </w:pPr>
      <w:r>
        <w:t xml:space="preserve">Revenue mix and pricing</w:t>
      </w:r>
    </w:p>
    <w:p>
      <w:pPr>
        <w:pStyle w:val="Compact"/>
        <w:numPr>
          <w:ilvl w:val="0"/>
          <w:numId w:val="1015"/>
        </w:numPr>
      </w:pPr>
      <w:r>
        <w:t xml:space="preserve">Slightly better incentive ratios</w:t>
      </w:r>
    </w:p>
    <w:p>
      <w:pPr>
        <w:pStyle w:val="Compact"/>
        <w:numPr>
          <w:ilvl w:val="0"/>
          <w:numId w:val="1015"/>
        </w:numPr>
      </w:pPr>
      <w:r>
        <w:t xml:space="preserve">Share repurchases</w:t>
      </w:r>
    </w:p>
    <w:p>
      <w:pPr>
        <w:pStyle w:val="Compact"/>
        <w:numPr>
          <w:ilvl w:val="0"/>
          <w:numId w:val="1015"/>
        </w:numPr>
      </w:pPr>
      <w:r>
        <w:t xml:space="preserve">Currency translation</w:t>
      </w:r>
    </w:p>
    <w:p>
      <w:pPr>
        <w:pStyle w:val="Compact"/>
        <w:numPr>
          <w:ilvl w:val="0"/>
          <w:numId w:val="1015"/>
        </w:numPr>
      </w:pPr>
      <w:r>
        <w:t xml:space="preserve">Expense discipline</w:t>
      </w:r>
    </w:p>
    <w:p>
      <w:pPr>
        <w:pStyle w:val="FirstParagraph"/>
      </w:pPr>
      <w:r>
        <w:t xml:space="preserve">Mastercard accelerated buybacks during Q1, repurchasing $4.0 billion of shares during the quarter and another $1.7 billion through April 27. Q1 adjusted EPS included an estimated $0.10 benefit from repurchases.</w:t>
      </w:r>
    </w:p>
    <w:p>
      <w:pPr>
        <w:pStyle w:val="BodyText"/>
      </w:pPr>
      <w:r>
        <w:t xml:space="preserve">However, management guided Q2 adjusted operating expenses to grow at a similar low-double-digit rate as currency-neutral revenue. Therefore, investors should not assume substantial operating-margin expansion. A strong EPS result driven primarily by lower share count or below-the-line items would be less compelling than one supported by operating leverage.</w:t>
      </w:r>
    </w:p>
    <w:p>
      <w:pPr>
        <w:pStyle w:val="BodyText"/>
      </w:pPr>
      <w:r>
        <w:t xml:space="preserve">The cleaner scorecard will be:</w:t>
      </w:r>
    </w:p>
    <w:p>
      <w:pPr>
        <w:pStyle w:val="Compact"/>
        <w:numPr>
          <w:ilvl w:val="0"/>
          <w:numId w:val="1016"/>
        </w:numPr>
      </w:pPr>
      <w:r>
        <w:t xml:space="preserve">Currency-neutral revenue growth</w:t>
      </w:r>
    </w:p>
    <w:p>
      <w:pPr>
        <w:pStyle w:val="Compact"/>
        <w:numPr>
          <w:ilvl w:val="0"/>
          <w:numId w:val="1016"/>
        </w:numPr>
      </w:pPr>
      <w:r>
        <w:t xml:space="preserve">Currency-neutral adjusted expense growth</w:t>
      </w:r>
    </w:p>
    <w:p>
      <w:pPr>
        <w:pStyle w:val="Compact"/>
        <w:numPr>
          <w:ilvl w:val="0"/>
          <w:numId w:val="1016"/>
        </w:numPr>
      </w:pPr>
      <w:r>
        <w:t xml:space="preserve">Adjusted operating margin</w:t>
      </w:r>
    </w:p>
    <w:p>
      <w:pPr>
        <w:pStyle w:val="Compact"/>
        <w:numPr>
          <w:ilvl w:val="0"/>
          <w:numId w:val="1016"/>
        </w:numPr>
      </w:pPr>
      <w:r>
        <w:t xml:space="preserve">Adjusted operating income growth</w:t>
      </w:r>
    </w:p>
    <w:p>
      <w:r>
        <w:pict>
          <v:rect style="width:0;height:1.5pt" o:hralign="center" o:hrstd="t" o:hr="t"/>
        </w:pict>
      </w:r>
    </w:p>
    <w:bookmarkEnd w:id="16"/>
    <w:bookmarkEnd w:id="17"/>
    <w:bookmarkStart w:id="20" w:name="guidance-the-likely-share-price-catalyst"/>
    <w:p>
      <w:pPr>
        <w:pStyle w:val="Heading2"/>
      </w:pPr>
      <w:r>
        <w:t xml:space="preserve">Guidance: the likely share-price catalyst</w:t>
      </w:r>
    </w:p>
    <w:p>
      <w:pPr>
        <w:pStyle w:val="FirstParagraph"/>
      </w:pPr>
      <w:r>
        <w:t xml:space="preserve">Visa raised its fiscal-year expectations after reporting stronger-than-expected volume and value-added-services results. That puts some pressure on Mastercard to provide at least constructive commentary.</w:t>
      </w:r>
    </w:p>
    <w:bookmarkStart w:id="18" w:name="a-favorable-update-would-include"/>
    <w:p>
      <w:pPr>
        <w:pStyle w:val="Heading3"/>
      </w:pPr>
      <w:r>
        <w:t xml:space="preserve">A favorable update would include:</w:t>
      </w:r>
    </w:p>
    <w:p>
      <w:pPr>
        <w:pStyle w:val="Compact"/>
        <w:numPr>
          <w:ilvl w:val="0"/>
          <w:numId w:val="1017"/>
        </w:numPr>
      </w:pPr>
      <w:r>
        <w:t xml:space="preserve">Full-year currency-neutral revenue guidance maintained at the high end of low double digits, with language suggesting upside</w:t>
      </w:r>
    </w:p>
    <w:p>
      <w:pPr>
        <w:pStyle w:val="Compact"/>
        <w:numPr>
          <w:ilvl w:val="0"/>
          <w:numId w:val="1017"/>
        </w:numPr>
      </w:pPr>
      <w:r>
        <w:t xml:space="preserve">A higher reported-growth outlook because of FX</w:t>
      </w:r>
    </w:p>
    <w:p>
      <w:pPr>
        <w:pStyle w:val="Compact"/>
        <w:numPr>
          <w:ilvl w:val="0"/>
          <w:numId w:val="1017"/>
        </w:numPr>
      </w:pPr>
      <w:r>
        <w:t xml:space="preserve">Improved assumptions for cross-border travel</w:t>
      </w:r>
    </w:p>
    <w:p>
      <w:pPr>
        <w:pStyle w:val="Compact"/>
        <w:numPr>
          <w:ilvl w:val="0"/>
          <w:numId w:val="1017"/>
        </w:numPr>
      </w:pPr>
      <w:r>
        <w:t xml:space="preserve">Expense growth held at or below revenue growth</w:t>
      </w:r>
    </w:p>
    <w:p>
      <w:pPr>
        <w:pStyle w:val="Compact"/>
        <w:numPr>
          <w:ilvl w:val="0"/>
          <w:numId w:val="1017"/>
        </w:numPr>
      </w:pPr>
      <w:r>
        <w:t xml:space="preserve">Strong July operating metrics</w:t>
      </w:r>
    </w:p>
    <w:bookmarkEnd w:id="18"/>
    <w:bookmarkStart w:id="19" w:name="a-disappointing-update-would-include"/>
    <w:p>
      <w:pPr>
        <w:pStyle w:val="Heading3"/>
      </w:pPr>
      <w:r>
        <w:t xml:space="preserve">A disappointing update would include:</w:t>
      </w:r>
    </w:p>
    <w:p>
      <w:pPr>
        <w:pStyle w:val="Compact"/>
        <w:numPr>
          <w:ilvl w:val="0"/>
          <w:numId w:val="1018"/>
        </w:numPr>
      </w:pPr>
      <w:r>
        <w:t xml:space="preserve">No improvement in the cross-border outlook despite better peer trends</w:t>
      </w:r>
    </w:p>
    <w:p>
      <w:pPr>
        <w:pStyle w:val="Compact"/>
        <w:numPr>
          <w:ilvl w:val="0"/>
          <w:numId w:val="1018"/>
        </w:numPr>
      </w:pPr>
      <w:r>
        <w:t xml:space="preserve">An explicit reduction to the second-half recovery assumption</w:t>
      </w:r>
    </w:p>
    <w:p>
      <w:pPr>
        <w:pStyle w:val="Compact"/>
        <w:numPr>
          <w:ilvl w:val="0"/>
          <w:numId w:val="1018"/>
        </w:numPr>
      </w:pPr>
      <w:r>
        <w:t xml:space="preserve">Expense growth running above revenue growth</w:t>
      </w:r>
    </w:p>
    <w:p>
      <w:pPr>
        <w:pStyle w:val="Compact"/>
        <w:numPr>
          <w:ilvl w:val="0"/>
          <w:numId w:val="1018"/>
        </w:numPr>
      </w:pPr>
      <w:r>
        <w:t xml:space="preserve">Higher incentive requirements</w:t>
      </w:r>
    </w:p>
    <w:p>
      <w:pPr>
        <w:pStyle w:val="Compact"/>
        <w:numPr>
          <w:ilvl w:val="0"/>
          <w:numId w:val="1018"/>
        </w:numPr>
      </w:pPr>
      <w:r>
        <w:t xml:space="preserve">A full-year outlook effectively relying on FX rather than better underlying performance</w:t>
      </w:r>
    </w:p>
    <w:p>
      <w:pPr>
        <w:pStyle w:val="FirstParagraph"/>
      </w:pPr>
      <w:r>
        <w:t xml:space="preserve">A simple reiteration may not be enough to produce a large positive reaction because the stock has rallied into the event.</w:t>
      </w:r>
    </w:p>
    <w:p>
      <w:r>
        <w:pict>
          <v:rect style="width:0;height:1.5pt" o:hralign="center" o:hrstd="t" o:hr="t"/>
        </w:pict>
      </w:r>
    </w:p>
    <w:bookmarkEnd w:id="19"/>
    <w:bookmarkEnd w:id="20"/>
    <w:bookmarkStart w:id="21" w:name="X528d593d746dbf61e6a91b13dd136a127cf6c79"/>
    <w:p>
      <w:pPr>
        <w:pStyle w:val="Heading2"/>
      </w:pPr>
      <w:r>
        <w:t xml:space="preserve">Technology themes: strategically important, but not yet the earnings driver</w:t>
      </w:r>
    </w:p>
    <w:p>
      <w:pPr>
        <w:pStyle w:val="FirstParagraph"/>
      </w:pPr>
      <w:r>
        <w:t xml:space="preserve">Agentic commerce and stablecoins will probably feature prominently in management’s prepared remarks and Q&amp;A.</w:t>
      </w:r>
    </w:p>
    <w:p>
      <w:pPr>
        <w:pStyle w:val="BodyText"/>
      </w:pPr>
      <w:r>
        <w:t xml:space="preserve">Mastercard’s strategic positioning includes:</w:t>
      </w:r>
    </w:p>
    <w:p>
      <w:pPr>
        <w:pStyle w:val="Compact"/>
        <w:numPr>
          <w:ilvl w:val="0"/>
          <w:numId w:val="1019"/>
        </w:numPr>
      </w:pPr>
      <w:r>
        <w:t xml:space="preserve">Mastercard Agent Pay</w:t>
      </w:r>
    </w:p>
    <w:p>
      <w:pPr>
        <w:pStyle w:val="Compact"/>
        <w:numPr>
          <w:ilvl w:val="0"/>
          <w:numId w:val="1019"/>
        </w:numPr>
      </w:pPr>
      <w:r>
        <w:t xml:space="preserve">Verifiable Intent for AI-authorized transactions</w:t>
      </w:r>
    </w:p>
    <w:p>
      <w:pPr>
        <w:pStyle w:val="Compact"/>
        <w:numPr>
          <w:ilvl w:val="0"/>
          <w:numId w:val="1019"/>
        </w:numPr>
      </w:pPr>
      <w:r>
        <w:t xml:space="preserve">Tokenized credentials</w:t>
      </w:r>
    </w:p>
    <w:p>
      <w:pPr>
        <w:pStyle w:val="Compact"/>
        <w:numPr>
          <w:ilvl w:val="0"/>
          <w:numId w:val="1019"/>
        </w:numPr>
      </w:pPr>
      <w:r>
        <w:t xml:space="preserve">Stablecoin settlement</w:t>
      </w:r>
    </w:p>
    <w:p>
      <w:pPr>
        <w:pStyle w:val="Compact"/>
        <w:numPr>
          <w:ilvl w:val="0"/>
          <w:numId w:val="1019"/>
        </w:numPr>
      </w:pPr>
      <w:r>
        <w:t xml:space="preserve">Crypto-linked card programs</w:t>
      </w:r>
    </w:p>
    <w:p>
      <w:pPr>
        <w:pStyle w:val="Compact"/>
        <w:numPr>
          <w:ilvl w:val="0"/>
          <w:numId w:val="1019"/>
        </w:numPr>
      </w:pPr>
      <w:r>
        <w:t xml:space="preserve">Mastercard Move</w:t>
      </w:r>
    </w:p>
    <w:p>
      <w:pPr>
        <w:pStyle w:val="Compact"/>
        <w:numPr>
          <w:ilvl w:val="0"/>
          <w:numId w:val="1019"/>
        </w:numPr>
      </w:pPr>
      <w:r>
        <w:t xml:space="preserve">The planned acquisition of BVNK</w:t>
      </w:r>
    </w:p>
    <w:p>
      <w:pPr>
        <w:pStyle w:val="FirstParagraph"/>
      </w:pPr>
      <w:r>
        <w:t xml:space="preserve">These initiatives reinforce Mastercard’s relevance as commerce evolves, but they remain early in their revenue contribution. Management acknowledged in Q1 that agentic-commerce volumes were still at an early stage.</w:t>
      </w:r>
    </w:p>
    <w:p>
      <w:pPr>
        <w:pStyle w:val="BodyText"/>
      </w:pPr>
      <w:r>
        <w:t xml:space="preserve">Investors should focus on tangible evidence:</w:t>
      </w:r>
    </w:p>
    <w:p>
      <w:pPr>
        <w:pStyle w:val="Compact"/>
        <w:numPr>
          <w:ilvl w:val="0"/>
          <w:numId w:val="1020"/>
        </w:numPr>
      </w:pPr>
      <w:r>
        <w:t xml:space="preserve">BVNK closing timing and integration plans</w:t>
      </w:r>
    </w:p>
    <w:p>
      <w:pPr>
        <w:pStyle w:val="Compact"/>
        <w:numPr>
          <w:ilvl w:val="0"/>
          <w:numId w:val="1020"/>
        </w:numPr>
      </w:pPr>
      <w:r>
        <w:t xml:space="preserve">Customer adoption rather than partnership announcements alone</w:t>
      </w:r>
    </w:p>
    <w:p>
      <w:pPr>
        <w:pStyle w:val="Compact"/>
        <w:numPr>
          <w:ilvl w:val="0"/>
          <w:numId w:val="1020"/>
        </w:numPr>
      </w:pPr>
      <w:r>
        <w:t xml:space="preserve">Revenue models for stablecoin conversion, settlement and money movement</w:t>
      </w:r>
    </w:p>
    <w:p>
      <w:pPr>
        <w:pStyle w:val="Compact"/>
        <w:numPr>
          <w:ilvl w:val="0"/>
          <w:numId w:val="1020"/>
        </w:numPr>
      </w:pPr>
      <w:r>
        <w:t xml:space="preserve">Whether agentic transactions create incremental services revenue</w:t>
      </w:r>
    </w:p>
    <w:p>
      <w:pPr>
        <w:pStyle w:val="Compact"/>
        <w:numPr>
          <w:ilvl w:val="0"/>
          <w:numId w:val="1020"/>
        </w:numPr>
      </w:pPr>
      <w:r>
        <w:t xml:space="preserve">Evidence that new rails complement rather than cannibalize card economics</w:t>
      </w:r>
    </w:p>
    <w:p>
      <w:pPr>
        <w:pStyle w:val="FirstParagraph"/>
      </w:pPr>
      <w:r>
        <w:t xml:space="preserve">For this quarter, these themes matter more to valuation and long-term competitive positioning than to the Q2 earnings result.</w:t>
      </w:r>
    </w:p>
    <w:p>
      <w:r>
        <w:pict>
          <v:rect style="width:0;height:1.5pt" o:hralign="center" o:hrstd="t" o:hr="t"/>
        </w:pict>
      </w:r>
    </w:p>
    <w:bookmarkEnd w:id="21"/>
    <w:bookmarkStart w:id="22" w:name="stock-setup"/>
    <w:p>
      <w:pPr>
        <w:pStyle w:val="Heading2"/>
      </w:pPr>
      <w:r>
        <w:t xml:space="preserve">Stock setup</w:t>
      </w:r>
    </w:p>
    <w:p>
      <w:pPr>
        <w:pStyle w:val="FirstParagraph"/>
      </w:pPr>
      <w:r>
        <w:t xml:space="preserve">Mastercard closed July 29 at</w:t>
      </w:r>
      <w:r>
        <w:t xml:space="preserve"> </w:t>
      </w:r>
      <w:r>
        <w:rPr>
          <w:b/>
          <w:bCs/>
        </w:rPr>
        <w:t xml:space="preserve">$565.21</w:t>
      </w:r>
      <w:r>
        <w:t xml:space="preserve">:</w:t>
      </w:r>
    </w:p>
    <w:p>
      <w:pPr>
        <w:pStyle w:val="Compact"/>
        <w:numPr>
          <w:ilvl w:val="0"/>
          <w:numId w:val="1021"/>
        </w:numPr>
      </w:pPr>
      <w:r>
        <w:t xml:space="preserve">Approximately</w:t>
      </w:r>
      <w:r>
        <w:t xml:space="preserve"> </w:t>
      </w:r>
      <w:r>
        <w:rPr>
          <w:b/>
          <w:bCs/>
        </w:rPr>
        <w:t xml:space="preserve">12.4% above</w:t>
      </w:r>
      <w:r>
        <w:t xml:space="preserve"> </w:t>
      </w:r>
      <w:r>
        <w:t xml:space="preserve">its April 30 close following the Q1 report</w:t>
      </w:r>
    </w:p>
    <w:p>
      <w:pPr>
        <w:pStyle w:val="Compact"/>
        <w:numPr>
          <w:ilvl w:val="0"/>
          <w:numId w:val="1021"/>
        </w:numPr>
      </w:pPr>
      <w:r>
        <w:t xml:space="preserve">Roughly</w:t>
      </w:r>
      <w:r>
        <w:t xml:space="preserve"> </w:t>
      </w:r>
      <w:r>
        <w:rPr>
          <w:b/>
          <w:bCs/>
        </w:rPr>
        <w:t xml:space="preserve">flat year to date</w:t>
      </w:r>
    </w:p>
    <w:p>
      <w:pPr>
        <w:pStyle w:val="Compact"/>
        <w:numPr>
          <w:ilvl w:val="0"/>
          <w:numId w:val="1021"/>
        </w:numPr>
      </w:pPr>
      <w:r>
        <w:t xml:space="preserve">About</w:t>
      </w:r>
      <w:r>
        <w:t xml:space="preserve"> </w:t>
      </w:r>
      <w:r>
        <w:rPr>
          <w:b/>
          <w:bCs/>
        </w:rPr>
        <w:t xml:space="preserve">2.6% below</w:t>
      </w:r>
      <w:r>
        <w:t xml:space="preserve"> </w:t>
      </w:r>
      <w:r>
        <w:t xml:space="preserve">its January closing high</w:t>
      </w:r>
    </w:p>
    <w:p>
      <w:pPr>
        <w:pStyle w:val="Compact"/>
        <w:numPr>
          <w:ilvl w:val="0"/>
          <w:numId w:val="1021"/>
        </w:numPr>
      </w:pPr>
      <w:r>
        <w:t xml:space="preserve">Well behind the S&amp;P 500’s approximately</w:t>
      </w:r>
      <w:r>
        <w:t xml:space="preserve"> </w:t>
      </w:r>
      <w:r>
        <w:rPr>
          <w:b/>
          <w:bCs/>
        </w:rPr>
        <w:t xml:space="preserve">8% year-to-date gain</w:t>
      </w:r>
    </w:p>
    <w:p>
      <w:pPr>
        <w:pStyle w:val="FirstParagraph"/>
      </w:pPr>
      <w:r>
        <w:t xml:space="preserve">The stock therefore has a mixed setup. It has recovered strongly over the past three months, raising the near-term bar, but its year-to-date underperformance leaves room for upside if management de-risks the second-half outlook.</w:t>
      </w:r>
    </w:p>
    <w:p>
      <w:r>
        <w:pict>
          <v:rect style="width:0;height:1.5pt" o:hralign="center" o:hrstd="t" o:hr="t"/>
        </w:pict>
      </w:r>
    </w:p>
    <w:bookmarkEnd w:id="22"/>
    <w:bookmarkStart w:id="26" w:name="potential-reaction-framework"/>
    <w:p>
      <w:pPr>
        <w:pStyle w:val="Heading2"/>
      </w:pPr>
      <w:r>
        <w:t xml:space="preserve">Potential reaction framework</w:t>
      </w:r>
    </w:p>
    <w:bookmarkStart w:id="23" w:name="bull-case"/>
    <w:p>
      <w:pPr>
        <w:pStyle w:val="Heading3"/>
      </w:pPr>
      <w:r>
        <w:t xml:space="preserve">Bull case</w:t>
      </w:r>
    </w:p>
    <w:p>
      <w:pPr>
        <w:pStyle w:val="Compact"/>
        <w:numPr>
          <w:ilvl w:val="0"/>
          <w:numId w:val="1022"/>
        </w:numPr>
      </w:pPr>
      <w:r>
        <w:t xml:space="preserve">Revenue and EPS beat consensus</w:t>
      </w:r>
    </w:p>
    <w:p>
      <w:pPr>
        <w:pStyle w:val="Compact"/>
        <w:numPr>
          <w:ilvl w:val="0"/>
          <w:numId w:val="1022"/>
        </w:numPr>
      </w:pPr>
      <w:r>
        <w:t xml:space="preserve">Cross-border growth remains in the low teens</w:t>
      </w:r>
    </w:p>
    <w:p>
      <w:pPr>
        <w:pStyle w:val="Compact"/>
        <w:numPr>
          <w:ilvl w:val="0"/>
          <w:numId w:val="1022"/>
        </w:numPr>
      </w:pPr>
      <w:r>
        <w:t xml:space="preserve">Travel trends improve materially into July</w:t>
      </w:r>
    </w:p>
    <w:p>
      <w:pPr>
        <w:pStyle w:val="Compact"/>
        <w:numPr>
          <w:ilvl w:val="0"/>
          <w:numId w:val="1022"/>
        </w:numPr>
      </w:pPr>
      <w:r>
        <w:t xml:space="preserve">Value-added services grows at least high teens organically</w:t>
      </w:r>
    </w:p>
    <w:p>
      <w:pPr>
        <w:pStyle w:val="Compact"/>
        <w:numPr>
          <w:ilvl w:val="0"/>
          <w:numId w:val="1022"/>
        </w:numPr>
      </w:pPr>
      <w:r>
        <w:t xml:space="preserve">Full-year guidance is raised or framed with clear upside</w:t>
      </w:r>
    </w:p>
    <w:p>
      <w:pPr>
        <w:pStyle w:val="Compact"/>
        <w:numPr>
          <w:ilvl w:val="0"/>
          <w:numId w:val="1022"/>
        </w:numPr>
      </w:pPr>
      <w:r>
        <w:t xml:space="preserve">Expenses remain controlled</w:t>
      </w:r>
    </w:p>
    <w:p>
      <w:pPr>
        <w:pStyle w:val="FirstParagraph"/>
      </w:pPr>
      <w:r>
        <w:rPr>
          <w:b/>
          <w:bCs/>
        </w:rPr>
        <w:t xml:space="preserve">Likely interpretation:</w:t>
      </w:r>
      <w:r>
        <w:t xml:space="preserve"> </w:t>
      </w:r>
      <w:r>
        <w:t xml:space="preserve">The Middle East and portfolio headwinds are temporary, while Mastercard’s underlying growth algorithm remains intact.</w:t>
      </w:r>
    </w:p>
    <w:bookmarkEnd w:id="23"/>
    <w:bookmarkStart w:id="24" w:name="base-case"/>
    <w:p>
      <w:pPr>
        <w:pStyle w:val="Heading3"/>
      </w:pPr>
      <w:r>
        <w:t xml:space="preserve">Base case</w:t>
      </w:r>
    </w:p>
    <w:p>
      <w:pPr>
        <w:pStyle w:val="Compact"/>
        <w:numPr>
          <w:ilvl w:val="0"/>
          <w:numId w:val="1023"/>
        </w:numPr>
      </w:pPr>
      <w:r>
        <w:t xml:space="preserve">Modest revenue and EPS beat</w:t>
      </w:r>
    </w:p>
    <w:p>
      <w:pPr>
        <w:pStyle w:val="Compact"/>
        <w:numPr>
          <w:ilvl w:val="0"/>
          <w:numId w:val="1023"/>
        </w:numPr>
      </w:pPr>
      <w:r>
        <w:t xml:space="preserve">Cross-border and switched transactions broadly match Visa’s directional trends</w:t>
      </w:r>
    </w:p>
    <w:p>
      <w:pPr>
        <w:pStyle w:val="Compact"/>
        <w:numPr>
          <w:ilvl w:val="0"/>
          <w:numId w:val="1023"/>
        </w:numPr>
      </w:pPr>
      <w:r>
        <w:t xml:space="preserve">Value-added services remains in the high teens</w:t>
      </w:r>
    </w:p>
    <w:p>
      <w:pPr>
        <w:pStyle w:val="Compact"/>
        <w:numPr>
          <w:ilvl w:val="0"/>
          <w:numId w:val="1023"/>
        </w:numPr>
      </w:pPr>
      <w:r>
        <w:t xml:space="preserve">Full-year guidance is reiterated</w:t>
      </w:r>
    </w:p>
    <w:p>
      <w:pPr>
        <w:pStyle w:val="Compact"/>
        <w:numPr>
          <w:ilvl w:val="0"/>
          <w:numId w:val="1023"/>
        </w:numPr>
      </w:pPr>
      <w:r>
        <w:t xml:space="preserve">July trends remain healthy</w:t>
      </w:r>
    </w:p>
    <w:p>
      <w:pPr>
        <w:pStyle w:val="FirstParagraph"/>
      </w:pPr>
      <w:r>
        <w:rPr>
          <w:b/>
          <w:bCs/>
        </w:rPr>
        <w:t xml:space="preserve">Likely interpretation:</w:t>
      </w:r>
      <w:r>
        <w:t xml:space="preserve"> </w:t>
      </w:r>
      <w:r>
        <w:t xml:space="preserve">A good quarter, but much of the favorable industry backdrop was already anticipated. The stock reaction could be muted after its recent rally.</w:t>
      </w:r>
    </w:p>
    <w:bookmarkEnd w:id="24"/>
    <w:bookmarkStart w:id="25" w:name="bear-case"/>
    <w:p>
      <w:pPr>
        <w:pStyle w:val="Heading3"/>
      </w:pPr>
      <w:r>
        <w:t xml:space="preserve">Bear case</w:t>
      </w:r>
    </w:p>
    <w:p>
      <w:pPr>
        <w:pStyle w:val="Compact"/>
        <w:numPr>
          <w:ilvl w:val="0"/>
          <w:numId w:val="1024"/>
        </w:numPr>
      </w:pPr>
      <w:r>
        <w:t xml:space="preserve">Revenue misses or only matches despite favorable FX</w:t>
      </w:r>
    </w:p>
    <w:p>
      <w:pPr>
        <w:pStyle w:val="Compact"/>
        <w:numPr>
          <w:ilvl w:val="0"/>
          <w:numId w:val="1024"/>
        </w:numPr>
      </w:pPr>
      <w:r>
        <w:t xml:space="preserve">Cross-border travel remains weak</w:t>
      </w:r>
    </w:p>
    <w:p>
      <w:pPr>
        <w:pStyle w:val="Compact"/>
        <w:numPr>
          <w:ilvl w:val="0"/>
          <w:numId w:val="1024"/>
        </w:numPr>
      </w:pPr>
      <w:r>
        <w:t xml:space="preserve">Value-added services slows toward the mid-teens</w:t>
      </w:r>
    </w:p>
    <w:p>
      <w:pPr>
        <w:pStyle w:val="Compact"/>
        <w:numPr>
          <w:ilvl w:val="0"/>
          <w:numId w:val="1024"/>
        </w:numPr>
      </w:pPr>
      <w:r>
        <w:t xml:space="preserve">Incentives or expenses rise faster than expected</w:t>
      </w:r>
    </w:p>
    <w:p>
      <w:pPr>
        <w:pStyle w:val="Compact"/>
        <w:numPr>
          <w:ilvl w:val="0"/>
          <w:numId w:val="1024"/>
        </w:numPr>
      </w:pPr>
      <w:r>
        <w:t xml:space="preserve">Management tempers the full-year outlook</w:t>
      </w:r>
    </w:p>
    <w:p>
      <w:pPr>
        <w:pStyle w:val="FirstParagraph"/>
      </w:pPr>
      <w:r>
        <w:rPr>
          <w:b/>
          <w:bCs/>
        </w:rPr>
        <w:t xml:space="preserve">Likely interpretation:</w:t>
      </w:r>
      <w:r>
        <w:t xml:space="preserve"> </w:t>
      </w:r>
      <w:r>
        <w:t xml:space="preserve">Company-specific portfolio and geopolitical pressures are overwhelming otherwise healthy payment-industry fundamentals.</w:t>
      </w:r>
    </w:p>
    <w:p>
      <w:r>
        <w:pict>
          <v:rect style="width:0;height:1.5pt" o:hralign="center" o:hrstd="t" o:hr="t"/>
        </w:pict>
      </w:r>
    </w:p>
    <w:bookmarkEnd w:id="25"/>
    <w:bookmarkEnd w:id="26"/>
    <w:bookmarkStart w:id="27" w:name="questions-management-needs-to-answer"/>
    <w:p>
      <w:pPr>
        <w:pStyle w:val="Heading2"/>
      </w:pPr>
      <w:r>
        <w:t xml:space="preserve">Questions management needs to answer</w:t>
      </w:r>
    </w:p>
    <w:p>
      <w:pPr>
        <w:pStyle w:val="Compact"/>
        <w:numPr>
          <w:ilvl w:val="0"/>
          <w:numId w:val="1025"/>
        </w:numPr>
      </w:pPr>
      <w:r>
        <w:t xml:space="preserve">How did cross-border travel growth progress from April through June and into July?</w:t>
      </w:r>
    </w:p>
    <w:p>
      <w:pPr>
        <w:pStyle w:val="Compact"/>
        <w:numPr>
          <w:ilvl w:val="0"/>
          <w:numId w:val="1025"/>
        </w:numPr>
      </w:pPr>
      <w:r>
        <w:t xml:space="preserve">How much of Q2’s cross-border pressure came from conflict-related travel restrictions versus portfolio shifts?</w:t>
      </w:r>
    </w:p>
    <w:p>
      <w:pPr>
        <w:pStyle w:val="Compact"/>
        <w:numPr>
          <w:ilvl w:val="0"/>
          <w:numId w:val="1025"/>
        </w:numPr>
      </w:pPr>
      <w:r>
        <w:t xml:space="preserve">Does the second-half outlook still assume a progressive travel recovery?</w:t>
      </w:r>
    </w:p>
    <w:p>
      <w:pPr>
        <w:pStyle w:val="Compact"/>
        <w:numPr>
          <w:ilvl w:val="0"/>
          <w:numId w:val="1025"/>
        </w:numPr>
      </w:pPr>
      <w:r>
        <w:t xml:space="preserve">What was organic, currency-neutral growth in value-added services?</w:t>
      </w:r>
    </w:p>
    <w:p>
      <w:pPr>
        <w:pStyle w:val="Compact"/>
        <w:numPr>
          <w:ilvl w:val="0"/>
          <w:numId w:val="1025"/>
        </w:numPr>
      </w:pPr>
      <w:r>
        <w:t xml:space="preserve">Did rebates and incentives decline sequentially as a percentage of network assessments?</w:t>
      </w:r>
    </w:p>
    <w:p>
      <w:pPr>
        <w:pStyle w:val="Compact"/>
        <w:numPr>
          <w:ilvl w:val="0"/>
          <w:numId w:val="1025"/>
        </w:numPr>
      </w:pPr>
      <w:r>
        <w:t xml:space="preserve">How much EPS benefit came from share repurchases?</w:t>
      </w:r>
    </w:p>
    <w:p>
      <w:pPr>
        <w:pStyle w:val="Compact"/>
        <w:numPr>
          <w:ilvl w:val="0"/>
          <w:numId w:val="1025"/>
        </w:numPr>
      </w:pPr>
      <w:r>
        <w:t xml:space="preserve">Is full-year guidance conservative relative to current July trends?</w:t>
      </w:r>
    </w:p>
    <w:p>
      <w:pPr>
        <w:pStyle w:val="Compact"/>
        <w:numPr>
          <w:ilvl w:val="0"/>
          <w:numId w:val="1025"/>
        </w:numPr>
      </w:pPr>
      <w:r>
        <w:t xml:space="preserve">When is the BVNK transaction expected to close, and when could it become financially meaningful?</w:t>
      </w:r>
    </w:p>
    <w:p>
      <w:pPr>
        <w:pStyle w:val="Compact"/>
        <w:numPr>
          <w:ilvl w:val="0"/>
          <w:numId w:val="1025"/>
        </w:numPr>
      </w:pPr>
      <w:r>
        <w:t xml:space="preserve">Are AI investments beginning to improve internal productivity or margins?</w:t>
      </w:r>
    </w:p>
    <w:p>
      <w:pPr>
        <w:pStyle w:val="Compact"/>
        <w:numPr>
          <w:ilvl w:val="0"/>
          <w:numId w:val="1025"/>
        </w:numPr>
      </w:pPr>
      <w:r>
        <w:t xml:space="preserve">Has competitive intensity changed for affluent, travel and commercial-card portfolios?</w:t>
      </w:r>
    </w:p>
    <w:bookmarkEnd w:id="27"/>
    <w:bookmarkStart w:id="28" w:name="bottom-line"/>
    <w:p>
      <w:pPr>
        <w:pStyle w:val="Heading2"/>
      </w:pPr>
      <w:r>
        <w:t xml:space="preserve">Bottom line</w:t>
      </w:r>
    </w:p>
    <w:p>
      <w:pPr>
        <w:pStyle w:val="FirstParagraph"/>
      </w:pPr>
      <w:r>
        <w:t xml:space="preserve">The external evidence points to another solid Mastercard quarter. Consumer spending remains resilient, cross-border volumes appear healthy, and demand for security, data and marketing services is strong.</w:t>
      </w:r>
    </w:p>
    <w:p>
      <w:pPr>
        <w:pStyle w:val="BodyText"/>
      </w:pPr>
      <w:r>
        <w:t xml:space="preserve">The key complication is that Mastercard entered Q2 with more company-specific cross-border pressure than Visa and with an outlook partly based on the Middle East conflict ending during the quarter. A modest beat is therefore plausible, but the durability of second-half growth matters more than the headline EPS number.</w:t>
      </w:r>
    </w:p>
    <w:p>
      <w:pPr>
        <w:pStyle w:val="BodyText"/>
      </w:pPr>
      <w:r>
        <w:rPr>
          <w:b/>
          <w:bCs/>
        </w:rPr>
        <w:t xml:space="preserve">The cleanest bullish signal would be low-teens cross-border growth, high-teens value-added-services growth and an upward revision—or clear upward bias—to the full-year revenue outlook.</w:t>
      </w:r>
      <w:r>
        <w:t xml:space="preserve"> </w:t>
      </w:r>
      <w:r>
        <w:t xml:space="preserve">Without that guidance support, an otherwise good quarter may not be sufficient after the stock’s recent recovery.</w:t>
      </w:r>
    </w:p>
    <w:p>
      <w:r>
        <w:pict>
          <v:rect style="width:0;height:1.5pt" o:hralign="center" o:hrstd="t" o:hr="t"/>
        </w:pict>
      </w:r>
    </w:p>
    <w:p>
      <w:pPr>
        <w:pStyle w:val="FirstParagraph"/>
      </w:pPr>
      <w:r>
        <w:rPr>
          <w:i/>
          <w:iCs/>
        </w:rPr>
        <w:t xml:space="preserve">Research sources: Mastercard Q1 2026 earnings release and call, Mastercard Q1 2026 Form 10-Q, Mastercard Q2 2025 earnings release, Visa fiscal Q3 2026 earnings release and call, recent market-news digests, and closing-price data through July 29, 2026.</w:t>
      </w:r>
    </w:p>
    <w:bookmarkEnd w:id="28"/>
    <w:bookmarkEnd w:id="2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2026-07-29T18:33:45Z</dcterms:created>
  <dcterms:modified xsi:type="dcterms:W3CDTF">2026-07-29T18:33:45Z</dcterms:modified>
</cp:coreProperties>
</file>

<file path=docProps/custom.xml><?xml version="1.0" encoding="utf-8"?>
<Properties xmlns="http://schemas.openxmlformats.org/officeDocument/2006/custom-properties" xmlns:vt="http://schemas.openxmlformats.org/officeDocument/2006/docPropsVTypes"/>
</file>