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32125fd73cfbf2717782a3d753007e5e36d8305"/>
    <w:p>
      <w:pPr>
        <w:pStyle w:val="Heading1"/>
      </w:pPr>
      <w:r>
        <w:t xml:space="preserve">Mastercard (NYSE: MA) — 2Q26 Earnings Preview</w:t>
      </w:r>
    </w:p>
    <w:p>
      <w:pPr>
        <w:pStyle w:val="FirstParagraph"/>
      </w:pPr>
      <w:r>
        <w:rPr>
          <w:b/>
          <w:bCs/>
        </w:rPr>
        <w:t xml:space="preserve">Report date:</w:t>
      </w:r>
      <w:r>
        <w:t xml:space="preserve"> </w:t>
      </w:r>
      <w:r>
        <w:t xml:space="preserve">Thursday, July 30, 2026, before the U.S. market open</w:t>
      </w:r>
      <w:r>
        <w:br/>
      </w:r>
      <w:r>
        <w:rPr>
          <w:b/>
          <w:bCs/>
        </w:rPr>
        <w:t xml:space="preserve">Event:</w:t>
      </w:r>
      <w:r>
        <w:t xml:space="preserve"> </w:t>
      </w:r>
      <w:r>
        <w:t xml:space="preserve">2026Q2 Earnings Call</w:t>
      </w:r>
    </w:p>
    <w:bookmarkStart w:id="9" w:name="bottom-line"/>
    <w:p>
      <w:pPr>
        <w:pStyle w:val="Heading2"/>
      </w:pPr>
      <w:r>
        <w:t xml:space="preserve">Bottom line</w:t>
      </w:r>
    </w:p>
    <w:p>
      <w:pPr>
        <w:pStyle w:val="FirstParagraph"/>
      </w:pPr>
      <w:r>
        <w:t xml:space="preserve">Mastercard enters 2Q26 with a</w:t>
      </w:r>
      <w:r>
        <w:t xml:space="preserve"> </w:t>
      </w:r>
      <w:r>
        <w:rPr>
          <w:b/>
          <w:bCs/>
        </w:rPr>
        <w:t xml:space="preserve">constructive fundamental setup but an unusually important outlook debate</w:t>
      </w:r>
      <w:r>
        <w:t xml:space="preserve">. The core payments backdrop appears resilient: Visa’s June-quarter results showed 10% constant-currency payments-volume growth, 12% cross-border growth excluding intra-Europe, and 10% processed-transaction growth. That is supportive for Mastercard’s domestic spending, transaction-processing, and cross-border revenue streams.</w:t>
      </w:r>
    </w:p>
    <w:p>
      <w:pPr>
        <w:pStyle w:val="BodyText"/>
      </w:pPr>
      <w:r>
        <w:t xml:space="preserve">The complication is the Middle East conflict. Mastercard’s April guidance explicitly assumed that the conflict would end during 2Q26, with the largest cross-border-travel impact occurring in the quarter and a recovery beginning in the second half. As of July 29, the conflict has instead re-escalated. While that is principally a</w:t>
      </w:r>
      <w:r>
        <w:t xml:space="preserve"> </w:t>
      </w:r>
      <w:r>
        <w:rPr>
          <w:b/>
          <w:bCs/>
        </w:rPr>
        <w:t xml:space="preserve">3Q and full-year outlook</w:t>
      </w:r>
      <w:r>
        <w:t xml:space="preserve"> </w:t>
      </w:r>
      <w:r>
        <w:t xml:space="preserve">issue rather than a June-quarter revenue issue, investors will likely focus less on whether MA clears the quarter and more on whether management can sustain its full-year high-end-of-low-double-digit, currency-neutral revenue-growth framework.</w:t>
      </w:r>
    </w:p>
    <w:p>
      <w:pPr>
        <w:pStyle w:val="BodyText"/>
      </w:pPr>
      <w:r>
        <w:rPr>
          <w:b/>
          <w:bCs/>
        </w:rPr>
        <w:t xml:space="preserve">Preview view:</w:t>
      </w:r>
      <w:r>
        <w:t xml:space="preserve"> </w:t>
      </w:r>
      <w:r>
        <w:t xml:space="preserve">A modest beat is plausible if resilient consumer spending, pricing/mix, and Value-Added Services &amp; Solutions (VAS) offset the expected travel headwind. But the stock reaction will likely hinge on:</w:t>
      </w:r>
    </w:p>
    <w:p>
      <w:pPr>
        <w:pStyle w:val="Compact"/>
        <w:numPr>
          <w:ilvl w:val="0"/>
          <w:numId w:val="1001"/>
        </w:numPr>
      </w:pPr>
      <w:r>
        <w:t xml:space="preserve">the magnitude of the cross-border-travel pressure,</w:t>
      </w:r>
    </w:p>
    <w:p>
      <w:pPr>
        <w:pStyle w:val="Compact"/>
        <w:numPr>
          <w:ilvl w:val="0"/>
          <w:numId w:val="1001"/>
        </w:numPr>
      </w:pPr>
      <w:r>
        <w:t xml:space="preserve">whether VAS sustains high-teens organic growth, and</w:t>
      </w:r>
    </w:p>
    <w:p>
      <w:pPr>
        <w:pStyle w:val="Compact"/>
        <w:numPr>
          <w:ilvl w:val="0"/>
          <w:numId w:val="1001"/>
        </w:numPr>
      </w:pPr>
      <w:r>
        <w:t xml:space="preserve">whether the company retains, reduces, or meaningfully qualifies full-year guidance.</w:t>
      </w:r>
    </w:p>
    <w:p>
      <w:r>
        <w:pict>
          <v:rect style="width:0;height:1.5pt" o:hralign="center" o:hrstd="t" o:hr="t"/>
        </w:pict>
      </w:r>
    </w:p>
    <w:bookmarkEnd w:id="9"/>
    <w:bookmarkStart w:id="10"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consensus / expectation</w:t>
            </w:r>
          </w:p>
        </w:tc>
        <w:tc>
          <w:tcPr/>
          <w:p>
            <w:pPr>
              <w:pStyle w:val="Compact"/>
              <w:jc w:val="right"/>
            </w:pPr>
            <w:r>
              <w:t xml:space="preserve">2Q25 actual</w:t>
            </w:r>
          </w:p>
        </w:tc>
        <w:tc>
          <w:tcPr/>
          <w:p>
            <w:pPr>
              <w:pStyle w:val="Compact"/>
              <w:jc w:val="right"/>
            </w:pPr>
            <w:r>
              <w:t xml:space="preserve">Implied YoY growth</w:t>
            </w:r>
          </w:p>
        </w:tc>
      </w:tr>
      <w:tr>
        <w:tc>
          <w:tcPr/>
          <w:p>
            <w:pPr>
              <w:pStyle w:val="Compact"/>
            </w:pPr>
            <w:r>
              <w:t xml:space="preserve">Revenue</w:t>
            </w:r>
          </w:p>
        </w:tc>
        <w:tc>
          <w:tcPr/>
          <w:p>
            <w:pPr>
              <w:pStyle w:val="Compact"/>
              <w:jc w:val="right"/>
            </w:pPr>
            <w:r>
              <w:rPr>
                <w:b/>
                <w:bCs/>
              </w:rPr>
              <w:t xml:space="preserve">$9.07B</w:t>
            </w:r>
          </w:p>
        </w:tc>
        <w:tc>
          <w:tcPr/>
          <w:p>
            <w:pPr>
              <w:pStyle w:val="Compact"/>
              <w:jc w:val="right"/>
            </w:pPr>
            <w:r>
              <w:t xml:space="preserve">$8.13B</w:t>
            </w:r>
          </w:p>
        </w:tc>
        <w:tc>
          <w:tcPr/>
          <w:p>
            <w:pPr>
              <w:pStyle w:val="Compact"/>
              <w:jc w:val="right"/>
            </w:pPr>
            <w:r>
              <w:rPr>
                <w:b/>
                <w:bCs/>
              </w:rPr>
              <w:t xml:space="preserve">~11.5%</w:t>
            </w:r>
          </w:p>
        </w:tc>
      </w:tr>
      <w:tr>
        <w:tc>
          <w:tcPr/>
          <w:p>
            <w:pPr>
              <w:pStyle w:val="Compact"/>
            </w:pPr>
            <w:r>
              <w:t xml:space="preserve">Adjusted EPS</w:t>
            </w:r>
          </w:p>
        </w:tc>
        <w:tc>
          <w:tcPr/>
          <w:p>
            <w:pPr>
              <w:pStyle w:val="Compact"/>
              <w:jc w:val="right"/>
            </w:pPr>
            <w:r>
              <w:rPr>
                <w:b/>
                <w:bCs/>
              </w:rPr>
              <w:t xml:space="preserve">$4.77</w:t>
            </w:r>
          </w:p>
        </w:tc>
        <w:tc>
          <w:tcPr/>
          <w:p>
            <w:pPr>
              <w:pStyle w:val="Compact"/>
              <w:jc w:val="right"/>
            </w:pPr>
            <w:r>
              <w:t xml:space="preserve">$4.15</w:t>
            </w:r>
          </w:p>
        </w:tc>
        <w:tc>
          <w:tcPr/>
          <w:p>
            <w:pPr>
              <w:pStyle w:val="Compact"/>
              <w:jc w:val="right"/>
            </w:pPr>
            <w:r>
              <w:rPr>
                <w:b/>
                <w:bCs/>
              </w:rPr>
              <w:t xml:space="preserve">~15%</w:t>
            </w:r>
          </w:p>
        </w:tc>
      </w:tr>
    </w:tbl>
    <w:p>
      <w:pPr>
        <w:pStyle w:val="BodyText"/>
      </w:pPr>
      <w:r>
        <w:rPr>
          <w:i/>
          <w:iCs/>
        </w:rPr>
        <w:t xml:space="preserve">Source: market-news consensus cited July 24, 2026; Mastercard’s 2Q25 earnings release.</w:t>
      </w:r>
    </w:p>
    <w:p>
      <w:pPr>
        <w:pStyle w:val="BodyText"/>
      </w:pPr>
      <w:r>
        <w:t xml:space="preserve">The revenue estimate sits near the framework Mastercard provided in April:</w:t>
      </w:r>
      <w:r>
        <w:t xml:space="preserve"> </w:t>
      </w:r>
      <w:r>
        <w:rPr>
          <w:b/>
          <w:bCs/>
        </w:rPr>
        <w:t xml:space="preserve">currency-neutral revenue growth at the low end of low double digits</w:t>
      </w:r>
      <w:r>
        <w:t xml:space="preserve">, excluding inorganic activity. Management also expected a</w:t>
      </w:r>
      <w:r>
        <w:t xml:space="preserve"> </w:t>
      </w:r>
      <w:r>
        <w:rPr>
          <w:b/>
          <w:bCs/>
        </w:rPr>
        <w:t xml:space="preserve">1–2 percentage-point reported-revenue FX tailwind</w:t>
      </w:r>
      <w:r>
        <w:t xml:space="preserve"> </w:t>
      </w:r>
      <w:r>
        <w:t xml:space="preserve">in 2Q.</w:t>
      </w:r>
    </w:p>
    <w:p>
      <w:pPr>
        <w:pStyle w:val="BodyText"/>
      </w:pPr>
      <w:r>
        <w:t xml:space="preserve">That makes the bar appear reasonable on revenue. EPS, however, has several moving parts: expected operating-expense growth at the low end of low double digits on a currency-neutral basis, approximately</w:t>
      </w:r>
      <w:r>
        <w:t xml:space="preserve"> </w:t>
      </w:r>
      <w:r>
        <w:rPr>
          <w:b/>
          <w:bCs/>
        </w:rPr>
        <w:t xml:space="preserve">$150 million of other expense</w:t>
      </w:r>
      <w:r>
        <w:t xml:space="preserve">, and a</w:t>
      </w:r>
      <w:r>
        <w:t xml:space="preserve"> </w:t>
      </w:r>
      <w:r>
        <w:rPr>
          <w:b/>
          <w:bCs/>
        </w:rPr>
        <w:t xml:space="preserve">20%–21% non-GAAP tax rate</w:t>
      </w:r>
      <w:r>
        <w:t xml:space="preserve">. The comparison also benefits from ongoing buybacks, though higher debt and lower seasonal cash balances raise interest expense.</w:t>
      </w:r>
    </w:p>
    <w:p>
      <w:r>
        <w:pict>
          <v:rect style="width:0;height:1.5pt" o:hralign="center" o:hrstd="t" o:hr="t"/>
        </w:pict>
      </w:r>
    </w:p>
    <w:bookmarkEnd w:id="10"/>
    <w:bookmarkStart w:id="15" w:name="Xc3814131775d4bab86c9e4b5df61c5de2843a6f"/>
    <w:p>
      <w:pPr>
        <w:pStyle w:val="Heading2"/>
      </w:pPr>
      <w:r>
        <w:t xml:space="preserve">Why the quarter could be better than feared</w:t>
      </w:r>
    </w:p>
    <w:bookmarkStart w:id="11" w:name="X431298a9641dc7203cb972ffe59da14ffd5f8af"/>
    <w:p>
      <w:pPr>
        <w:pStyle w:val="Heading3"/>
      </w:pPr>
      <w:r>
        <w:t xml:space="preserve">1. Peer data indicates healthy payment activity through June</w:t>
      </w:r>
    </w:p>
    <w:p>
      <w:pPr>
        <w:pStyle w:val="FirstParagraph"/>
      </w:pPr>
      <w:r>
        <w:t xml:space="preserve">Visa’s June-quarter report is the most relevant read-through available before Mastercard’s release. Visa reported:</w:t>
      </w:r>
    </w:p>
    <w:p>
      <w:pPr>
        <w:pStyle w:val="Compact"/>
        <w:numPr>
          <w:ilvl w:val="0"/>
          <w:numId w:val="1002"/>
        </w:numPr>
      </w:pPr>
      <w:r>
        <w:rPr>
          <w:b/>
          <w:bCs/>
        </w:rPr>
        <w:t xml:space="preserve">10%</w:t>
      </w:r>
      <w:r>
        <w:t xml:space="preserve"> </w:t>
      </w:r>
      <w:r>
        <w:t xml:space="preserve">constant-currency payments-volume growth</w:t>
      </w:r>
    </w:p>
    <w:p>
      <w:pPr>
        <w:pStyle w:val="Compact"/>
        <w:numPr>
          <w:ilvl w:val="0"/>
          <w:numId w:val="1002"/>
        </w:numPr>
      </w:pPr>
      <w:r>
        <w:rPr>
          <w:b/>
          <w:bCs/>
        </w:rPr>
        <w:t xml:space="preserve">12%</w:t>
      </w:r>
      <w:r>
        <w:t xml:space="preserve"> </w:t>
      </w:r>
      <w:r>
        <w:t xml:space="preserve">cross-border growth excluding intra-Europe</w:t>
      </w:r>
    </w:p>
    <w:p>
      <w:pPr>
        <w:pStyle w:val="Compact"/>
        <w:numPr>
          <w:ilvl w:val="0"/>
          <w:numId w:val="1002"/>
        </w:numPr>
      </w:pPr>
      <w:r>
        <w:rPr>
          <w:b/>
          <w:bCs/>
        </w:rPr>
        <w:t xml:space="preserve">13%</w:t>
      </w:r>
      <w:r>
        <w:t xml:space="preserve"> </w:t>
      </w:r>
      <w:r>
        <w:t xml:space="preserve">total cross-border growth</w:t>
      </w:r>
    </w:p>
    <w:p>
      <w:pPr>
        <w:pStyle w:val="Compact"/>
        <w:numPr>
          <w:ilvl w:val="0"/>
          <w:numId w:val="1002"/>
        </w:numPr>
      </w:pPr>
      <w:r>
        <w:rPr>
          <w:b/>
          <w:bCs/>
        </w:rPr>
        <w:t xml:space="preserve">10%</w:t>
      </w:r>
      <w:r>
        <w:t xml:space="preserve"> </w:t>
      </w:r>
      <w:r>
        <w:t xml:space="preserve">processed-transaction growth</w:t>
      </w:r>
    </w:p>
    <w:p>
      <w:pPr>
        <w:pStyle w:val="Compact"/>
        <w:numPr>
          <w:ilvl w:val="0"/>
          <w:numId w:val="1002"/>
        </w:numPr>
      </w:pPr>
      <w:r>
        <w:rPr>
          <w:b/>
          <w:bCs/>
        </w:rPr>
        <w:t xml:space="preserve">13%</w:t>
      </w:r>
      <w:r>
        <w:t xml:space="preserve"> </w:t>
      </w:r>
      <w:r>
        <w:t xml:space="preserve">constant-dollar revenue growth</w:t>
      </w:r>
    </w:p>
    <w:p>
      <w:pPr>
        <w:pStyle w:val="FirstParagraph"/>
      </w:pPr>
      <w:r>
        <w:t xml:space="preserve">Visa’s geographic mix and revenue recognition differ from Mastercard’s, so this is not a direct forecast. Still, it undercuts a broad-based demand-collapse narrative and suggests consumers and businesses continued to spend through June.</w:t>
      </w:r>
    </w:p>
    <w:bookmarkEnd w:id="11"/>
    <w:bookmarkStart w:id="12" w:name="X3206c2d20902b1400dcd5ca896755d5df3decea"/>
    <w:p>
      <w:pPr>
        <w:pStyle w:val="Heading3"/>
      </w:pPr>
      <w:r>
        <w:t xml:space="preserve">2. Mastercard’s 1Q base business was strong</w:t>
      </w:r>
    </w:p>
    <w:p>
      <w:pPr>
        <w:pStyle w:val="FirstParagraph"/>
      </w:pPr>
      <w:r>
        <w:t xml:space="preserve">In 1Q26, Mastercard delivered:</w:t>
      </w:r>
    </w:p>
    <w:p>
      <w:pPr>
        <w:pStyle w:val="Compact"/>
        <w:numPr>
          <w:ilvl w:val="0"/>
          <w:numId w:val="1003"/>
        </w:numPr>
      </w:pPr>
      <w:r>
        <w:rPr>
          <w:b/>
          <w:bCs/>
        </w:rPr>
        <w:t xml:space="preserve">12%</w:t>
      </w:r>
      <w:r>
        <w:t xml:space="preserve"> </w:t>
      </w:r>
      <w:r>
        <w:t xml:space="preserve">currency-neutral revenue growth</w:t>
      </w:r>
    </w:p>
    <w:p>
      <w:pPr>
        <w:pStyle w:val="Compact"/>
        <w:numPr>
          <w:ilvl w:val="0"/>
          <w:numId w:val="1003"/>
        </w:numPr>
      </w:pPr>
      <w:r>
        <w:rPr>
          <w:b/>
          <w:bCs/>
        </w:rPr>
        <w:t xml:space="preserve">18%</w:t>
      </w:r>
      <w:r>
        <w:t xml:space="preserve"> </w:t>
      </w:r>
      <w:r>
        <w:t xml:space="preserve">currency-neutral adjusted EPS growth</w:t>
      </w:r>
    </w:p>
    <w:p>
      <w:pPr>
        <w:pStyle w:val="Compact"/>
        <w:numPr>
          <w:ilvl w:val="0"/>
          <w:numId w:val="1003"/>
        </w:numPr>
      </w:pPr>
      <w:r>
        <w:rPr>
          <w:b/>
          <w:bCs/>
        </w:rPr>
        <w:t xml:space="preserve">7%</w:t>
      </w:r>
      <w:r>
        <w:t xml:space="preserve"> </w:t>
      </w:r>
      <w:r>
        <w:t xml:space="preserve">local-currency GDV growth</w:t>
      </w:r>
    </w:p>
    <w:p>
      <w:pPr>
        <w:pStyle w:val="Compact"/>
        <w:numPr>
          <w:ilvl w:val="0"/>
          <w:numId w:val="1003"/>
        </w:numPr>
      </w:pPr>
      <w:r>
        <w:rPr>
          <w:b/>
          <w:bCs/>
        </w:rPr>
        <w:t xml:space="preserve">13%</w:t>
      </w:r>
      <w:r>
        <w:t xml:space="preserve"> </w:t>
      </w:r>
      <w:r>
        <w:t xml:space="preserve">local-currency cross-border-volume growth</w:t>
      </w:r>
    </w:p>
    <w:p>
      <w:pPr>
        <w:pStyle w:val="Compact"/>
        <w:numPr>
          <w:ilvl w:val="0"/>
          <w:numId w:val="1003"/>
        </w:numPr>
      </w:pPr>
      <w:r>
        <w:rPr>
          <w:b/>
          <w:bCs/>
        </w:rPr>
        <w:t xml:space="preserve">9%</w:t>
      </w:r>
      <w:r>
        <w:t xml:space="preserve"> </w:t>
      </w:r>
      <w:r>
        <w:t xml:space="preserve">switched-transaction growth, or approximately</w:t>
      </w:r>
      <w:r>
        <w:t xml:space="preserve"> </w:t>
      </w:r>
      <w:r>
        <w:rPr>
          <w:b/>
          <w:bCs/>
        </w:rPr>
        <w:t xml:space="preserve">10% excluding the Capital One debit migration</w:t>
      </w:r>
    </w:p>
    <w:p>
      <w:pPr>
        <w:pStyle w:val="Compact"/>
        <w:numPr>
          <w:ilvl w:val="0"/>
          <w:numId w:val="1003"/>
        </w:numPr>
      </w:pPr>
      <w:r>
        <w:rPr>
          <w:b/>
          <w:bCs/>
        </w:rPr>
        <w:t xml:space="preserve">18%</w:t>
      </w:r>
      <w:r>
        <w:t xml:space="preserve"> </w:t>
      </w:r>
      <w:r>
        <w:t xml:space="preserve">currency-neutral VAS revenue growth</w:t>
      </w:r>
    </w:p>
    <w:p>
      <w:pPr>
        <w:pStyle w:val="FirstParagraph"/>
      </w:pPr>
      <w:r>
        <w:t xml:space="preserve">Importantly, management said underlying consumer and business spending remained healthy even as cross-border travel weakened late in the quarter.</w:t>
      </w:r>
    </w:p>
    <w:bookmarkEnd w:id="12"/>
    <w:bookmarkStart w:id="13" w:name="Xde5ef91382ea5a0cdb2fdae0d155e797a72a076"/>
    <w:p>
      <w:pPr>
        <w:pStyle w:val="Heading3"/>
      </w:pPr>
      <w:r>
        <w:t xml:space="preserve">3. VAS remains the main offset and strategic differentiator</w:t>
      </w:r>
    </w:p>
    <w:p>
      <w:pPr>
        <w:pStyle w:val="FirstParagraph"/>
      </w:pPr>
      <w:r>
        <w:t xml:space="preserve">VAS represented roughly</w:t>
      </w:r>
      <w:r>
        <w:t xml:space="preserve"> </w:t>
      </w:r>
      <w:r>
        <w:rPr>
          <w:b/>
          <w:bCs/>
        </w:rPr>
        <w:t xml:space="preserve">40% of revenue</w:t>
      </w:r>
      <w:r>
        <w:t xml:space="preserve"> </w:t>
      </w:r>
      <w:r>
        <w:t xml:space="preserve">in 1Q, according to management, and grew 18% organically on a currency-neutral basis. Security, digital authentication, data/insights, consumer engagement, and consulting/marketing services remain the key contributors.</w:t>
      </w:r>
    </w:p>
    <w:p>
      <w:pPr>
        <w:pStyle w:val="BodyText"/>
      </w:pPr>
      <w:r>
        <w:t xml:space="preserve">For investors, the relevant question is not merely whether VAS grows quickly, but whether it can continue to grow materially faster than the payment network while maintaining attractive incremental margins. A sustained high-teens result would reinforce the argument that MA’s earnings algorithm is increasingly diversified away from pure cross-border travel.</w:t>
      </w:r>
    </w:p>
    <w:bookmarkEnd w:id="13"/>
    <w:bookmarkStart w:id="14" w:name="Xe54a0a1ee9dd1604207810026519ce86a3d54e0"/>
    <w:p>
      <w:pPr>
        <w:pStyle w:val="Heading3"/>
      </w:pPr>
      <w:r>
        <w:t xml:space="preserve">4. Pricing, mix, and share repurchases provide support</w:t>
      </w:r>
    </w:p>
    <w:p>
      <w:pPr>
        <w:pStyle w:val="FirstParagraph"/>
      </w:pPr>
      <w:r>
        <w:t xml:space="preserve">In 1Q, Mastercard’s cross-border assessments grew faster than cross-border volume, and transaction-processing assessments grew faster than switched transactions, reflecting favorable mix and pricing. Management has said planned pricing actions are already included in its guidance.</w:t>
      </w:r>
    </w:p>
    <w:p>
      <w:pPr>
        <w:pStyle w:val="BodyText"/>
      </w:pPr>
      <w:r>
        <w:t xml:space="preserve">The company also repurchased</w:t>
      </w:r>
      <w:r>
        <w:t xml:space="preserve"> </w:t>
      </w:r>
      <m:oMath>
        <m:r>
          <m:t>4.0</m:t>
        </m:r>
        <m:r>
          <m:t>b</m:t>
        </m:r>
        <m:r>
          <m:t>i</m:t>
        </m:r>
        <m:r>
          <m:t>l</m:t>
        </m:r>
        <m:r>
          <m:t>l</m:t>
        </m:r>
        <m:r>
          <m:t>i</m:t>
        </m:r>
        <m:r>
          <m:t>o</m:t>
        </m:r>
        <m:r>
          <m:t>n</m:t>
        </m:r>
        <m:r>
          <m:rPr>
            <m:sty m:val="p"/>
          </m:rPr>
          <m:t>*</m:t>
        </m:r>
        <m:r>
          <m:rPr>
            <m:sty m:val="p"/>
          </m:rPr>
          <m:t>*</m:t>
        </m:r>
        <m:r>
          <m:t>o</m:t>
        </m:r>
        <m:r>
          <m:t>f</m:t>
        </m:r>
        <m:r>
          <m:t>s</m:t>
        </m:r>
        <m:r>
          <m:t>h</m:t>
        </m:r>
        <m:r>
          <m:t>a</m:t>
        </m:r>
        <m:r>
          <m:t>r</m:t>
        </m:r>
        <m:r>
          <m:t>e</m:t>
        </m:r>
        <m:r>
          <m:t>s</m:t>
        </m:r>
        <m:r>
          <m:t>i</m:t>
        </m:r>
        <m:r>
          <m:t>n</m:t>
        </m:r>
        <m:r>
          <m:t>1</m:t>
        </m:r>
        <m:r>
          <m:t>Q</m:t>
        </m:r>
        <m:r>
          <m:t>a</m:t>
        </m:r>
        <m:r>
          <m:t>n</m:t>
        </m:r>
        <m:r>
          <m:t>d</m:t>
        </m:r>
        <m:r>
          <m:t>a</m:t>
        </m:r>
        <m:r>
          <m:t>n</m:t>
        </m:r>
        <m:r>
          <m:t>a</m:t>
        </m:r>
        <m:r>
          <m:t>d</m:t>
        </m:r>
        <m:r>
          <m:t>d</m:t>
        </m:r>
        <m:r>
          <m:t>i</m:t>
        </m:r>
        <m:r>
          <m:t>t</m:t>
        </m:r>
        <m:r>
          <m:t>i</m:t>
        </m:r>
        <m:r>
          <m:t>o</m:t>
        </m:r>
        <m:r>
          <m:t>n</m:t>
        </m:r>
        <m:r>
          <m:t>a</m:t>
        </m:r>
        <m:r>
          <m:t>l</m:t>
        </m:r>
        <m:r>
          <m:rPr>
            <m:sty m:val="p"/>
          </m:rPr>
          <m:t>*</m:t>
        </m:r>
        <m:r>
          <m:rPr>
            <m:sty m:val="p"/>
          </m:rPr>
          <m:t>*</m:t>
        </m:r>
      </m:oMath>
      <w:r>
        <w:rPr>
          <w:b/>
          <w:bCs/>
        </w:rPr>
        <w:t xml:space="preserve">1.7 billion through April 27</w:t>
      </w:r>
      <w:r>
        <w:t xml:space="preserve">, leaving</w:t>
      </w:r>
      <w:r>
        <w:t xml:space="preserve"> </w:t>
      </w:r>
      <w:r>
        <w:rPr>
          <w:b/>
          <w:bCs/>
        </w:rPr>
        <w:t xml:space="preserve">$11.7 billion</w:t>
      </w:r>
      <w:r>
        <w:t xml:space="preserve"> </w:t>
      </w:r>
      <w:r>
        <w:t xml:space="preserve">under authorization at that time. Buybacks contributed $0.10 to 1Q EPS and remain a meaningful EPS support mechanism.</w:t>
      </w:r>
    </w:p>
    <w:p>
      <w:r>
        <w:pict>
          <v:rect style="width:0;height:1.5pt" o:hralign="center" o:hrstd="t" o:hr="t"/>
        </w:pict>
      </w:r>
    </w:p>
    <w:bookmarkEnd w:id="14"/>
    <w:bookmarkEnd w:id="15"/>
    <w:bookmarkStart w:id="16" w:name="X2e26b3cfd809abcbfd1d59b456c8ec4dfe9842e"/>
    <w:p>
      <w:pPr>
        <w:pStyle w:val="Heading2"/>
      </w:pPr>
      <w:r>
        <w:t xml:space="preserve">The key risk: cross-border travel and the full-year guide</w:t>
      </w:r>
    </w:p>
    <w:p>
      <w:pPr>
        <w:pStyle w:val="FirstParagraph"/>
      </w:pPr>
      <w:r>
        <w:t xml:space="preserve">Mastercard’s April commentary made the near-term risk unusually explicit. It said that, without the Middle East conflict, 2Q currency-neutral revenue growth would have been generally in line with 1Q’s 12% pace. Instead, it guided to the</w:t>
      </w:r>
      <w:r>
        <w:t xml:space="preserve"> </w:t>
      </w:r>
      <w:r>
        <w:rPr>
          <w:b/>
          <w:bCs/>
        </w:rPr>
        <w:t xml:space="preserve">low end</w:t>
      </w:r>
      <w:r>
        <w:t xml:space="preserve"> </w:t>
      </w:r>
      <w:r>
        <w:t xml:space="preserve">of low-double-digit growth.</w:t>
      </w:r>
    </w:p>
    <w:p>
      <w:pPr>
        <w:pStyle w:val="BodyText"/>
      </w:pPr>
      <w:r>
        <w:t xml:space="preserve">Management identified three drivers behind the weakening cross-border-travel trend observed in April:</w:t>
      </w:r>
    </w:p>
    <w:p>
      <w:pPr>
        <w:pStyle w:val="Compact"/>
        <w:numPr>
          <w:ilvl w:val="0"/>
          <w:numId w:val="1004"/>
        </w:numPr>
      </w:pPr>
      <w:r>
        <w:rPr>
          <w:b/>
          <w:bCs/>
        </w:rPr>
        <w:t xml:space="preserve">The Middle East conflict</w:t>
      </w:r>
    </w:p>
    <w:p>
      <w:pPr>
        <w:pStyle w:val="Compact"/>
        <w:numPr>
          <w:ilvl w:val="0"/>
          <w:numId w:val="1004"/>
        </w:numPr>
      </w:pPr>
      <w:r>
        <w:rPr>
          <w:b/>
          <w:bCs/>
        </w:rPr>
        <w:t xml:space="preserve">Portfolio shifts</w:t>
      </w:r>
      <w:r>
        <w:t xml:space="preserve">, including some travel-heavy portfolios</w:t>
      </w:r>
    </w:p>
    <w:p>
      <w:pPr>
        <w:pStyle w:val="Compact"/>
        <w:numPr>
          <w:ilvl w:val="0"/>
          <w:numId w:val="1004"/>
        </w:numPr>
      </w:pPr>
      <w:r>
        <w:rPr>
          <w:b/>
          <w:bCs/>
        </w:rPr>
        <w:t xml:space="preserve">Calendar effects</w:t>
      </w:r>
      <w:r>
        <w:t xml:space="preserve"> </w:t>
      </w:r>
      <w:r>
        <w:t xml:space="preserve">from Ramadan and Easter</w:t>
      </w:r>
    </w:p>
    <w:p>
      <w:pPr>
        <w:pStyle w:val="FirstParagraph"/>
      </w:pPr>
      <w:r>
        <w:t xml:space="preserve">In the first four weeks of April, Mastercard said cross-border-travel growth had slowed to</w:t>
      </w:r>
      <w:r>
        <w:t xml:space="preserve"> </w:t>
      </w:r>
      <w:r>
        <w:rPr>
          <w:b/>
          <w:bCs/>
        </w:rPr>
        <w:t xml:space="preserve">2%</w:t>
      </w:r>
      <w:r>
        <w:t xml:space="preserve">, from</w:t>
      </w:r>
      <w:r>
        <w:t xml:space="preserve"> </w:t>
      </w:r>
      <w:r>
        <w:rPr>
          <w:b/>
          <w:bCs/>
        </w:rPr>
        <w:t xml:space="preserve">8% in 1Q</w:t>
      </w:r>
      <w:r>
        <w:t xml:space="preserve">, with those three factors contributing. It also noted that the GCC and Israel together represented roughly</w:t>
      </w:r>
      <w:r>
        <w:t xml:space="preserve"> </w:t>
      </w:r>
      <w:r>
        <w:rPr>
          <w:b/>
          <w:bCs/>
        </w:rPr>
        <w:t xml:space="preserve">6% of Mastercard cross-border volume</w:t>
      </w:r>
      <w:r>
        <w:t xml:space="preserve">, including both inbound and outbound activity.</w:t>
      </w:r>
    </w:p>
    <w:p>
      <w:pPr>
        <w:pStyle w:val="BodyText"/>
      </w:pPr>
      <w:r>
        <w:t xml:space="preserve">The key difference now is that the original planning assumption—conflict ending in 2Q—has not held. The situation intensified again in July. As a result, investors should expect questions around whether:</w:t>
      </w:r>
    </w:p>
    <w:p>
      <w:pPr>
        <w:pStyle w:val="Compact"/>
        <w:numPr>
          <w:ilvl w:val="0"/>
          <w:numId w:val="1005"/>
        </w:numPr>
      </w:pPr>
      <w:r>
        <w:t xml:space="preserve">the travel headwind was larger than expected in June;</w:t>
      </w:r>
    </w:p>
    <w:p>
      <w:pPr>
        <w:pStyle w:val="Compact"/>
        <w:numPr>
          <w:ilvl w:val="0"/>
          <w:numId w:val="1005"/>
        </w:numPr>
      </w:pPr>
      <w:r>
        <w:t xml:space="preserve">the second-half recovery assumption is still credible;</w:t>
      </w:r>
    </w:p>
    <w:p>
      <w:pPr>
        <w:pStyle w:val="Compact"/>
        <w:numPr>
          <w:ilvl w:val="0"/>
          <w:numId w:val="1005"/>
        </w:numPr>
      </w:pPr>
      <w:r>
        <w:t xml:space="preserve">the geopolitical impact extends beyond travel into consumer confidence, fuel costs, and broader international spend; and</w:t>
      </w:r>
    </w:p>
    <w:p>
      <w:pPr>
        <w:pStyle w:val="Compact"/>
        <w:numPr>
          <w:ilvl w:val="0"/>
          <w:numId w:val="1005"/>
        </w:numPr>
      </w:pPr>
      <w:r>
        <w:t xml:space="preserve">management’s full-year revenue outlook can remain unchanged.</w:t>
      </w:r>
    </w:p>
    <w:p>
      <w:r>
        <w:pict>
          <v:rect style="width:0;height:1.5pt" o:hralign="center" o:hrstd="t" o:hr="t"/>
        </w:pict>
      </w:r>
    </w:p>
    <w:bookmarkEnd w:id="16"/>
    <w:bookmarkStart w:id="22" w:name="what-matters-most-on-the-call"/>
    <w:p>
      <w:pPr>
        <w:pStyle w:val="Heading2"/>
      </w:pPr>
      <w:r>
        <w:t xml:space="preserve">What matters most on the call</w:t>
      </w:r>
    </w:p>
    <w:bookmarkStart w:id="17" w:name="X8f968ef3870f2ca8fc48584658f780c2ef5df0b"/>
    <w:p>
      <w:pPr>
        <w:pStyle w:val="Heading3"/>
      </w:pPr>
      <w:r>
        <w:t xml:space="preserve">1. Cross-border: travel versus card-not-present</w:t>
      </w:r>
    </w:p>
    <w:p>
      <w:pPr>
        <w:pStyle w:val="FirstParagraph"/>
      </w:pPr>
      <w:r>
        <w:t xml:space="preserve">Mastercard needs to distinguish the travel weakness from the broader international-spend opportunity.</w:t>
      </w:r>
    </w:p>
    <w:p>
      <w:pPr>
        <w:pStyle w:val="BodyText"/>
      </w:pPr>
      <w:r>
        <w:t xml:space="preserve">In 1Q, total cross-border volume grew 13%, while cross-border card-not-present ex-travel grew 18%. A healthy non-travel cross-border trend would demonstrate that the international franchise remains intact even if physical travel is disrupted.</w:t>
      </w:r>
    </w:p>
    <w:p>
      <w:pPr>
        <w:pStyle w:val="BodyText"/>
      </w:pPr>
      <w:r>
        <w:rPr>
          <w:b/>
          <w:bCs/>
        </w:rPr>
        <w:t xml:space="preserve">Positive read:</w:t>
      </w:r>
      <w:r>
        <w:t xml:space="preserve"> </w:t>
      </w:r>
      <w:r>
        <w:t xml:space="preserve">Travel growth stabilizes or improves from the April run rate, while card-not-present remains strong.</w:t>
      </w:r>
      <w:r>
        <w:br/>
      </w:r>
      <w:r>
        <w:rPr>
          <w:b/>
          <w:bCs/>
        </w:rPr>
        <w:t xml:space="preserve">Negative read:</w:t>
      </w:r>
      <w:r>
        <w:t xml:space="preserve"> </w:t>
      </w:r>
      <w:r>
        <w:t xml:space="preserve">The weakness spreads from travel into broader cross-border activity, or management points to worsening sequential trends in July.</w:t>
      </w:r>
    </w:p>
    <w:bookmarkEnd w:id="17"/>
    <w:bookmarkStart w:id="18" w:name="X05b89cce7ded6f648f67042eefd1825e8b5dfbd"/>
    <w:p>
      <w:pPr>
        <w:pStyle w:val="Heading3"/>
      </w:pPr>
      <w:r>
        <w:t xml:space="preserve">2. VAS organic growth and profitability</w:t>
      </w:r>
    </w:p>
    <w:p>
      <w:pPr>
        <w:pStyle w:val="FirstParagraph"/>
      </w:pPr>
      <w:r>
        <w:t xml:space="preserve">After 18% currency-neutral organic VAS growth in 1Q, the market will look for another high-teens result. The main proof points are demand for fraud, cybersecurity, authentication, data/insights, and consulting offerings.</w:t>
      </w:r>
    </w:p>
    <w:p>
      <w:pPr>
        <w:pStyle w:val="BodyText"/>
      </w:pPr>
      <w:r>
        <w:t xml:space="preserve">Security in particular should remain a focal point. Mastercard has emphasized demand for Recorded Future and Mastercard Threat Intelligence as AI-driven fraud, cyber threats, and geopolitical risks increase.</w:t>
      </w:r>
    </w:p>
    <w:p>
      <w:pPr>
        <w:pStyle w:val="BodyText"/>
      </w:pPr>
      <w:r>
        <w:rPr>
          <w:b/>
          <w:bCs/>
        </w:rPr>
        <w:t xml:space="preserve">Positive read:</w:t>
      </w:r>
      <w:r>
        <w:t xml:space="preserve"> </w:t>
      </w:r>
      <w:r>
        <w:t xml:space="preserve">High-teens organic VAS growth with broad contribution across security, authentication, insights, and engagement.</w:t>
      </w:r>
      <w:r>
        <w:br/>
      </w:r>
      <w:r>
        <w:rPr>
          <w:b/>
          <w:bCs/>
        </w:rPr>
        <w:t xml:space="preserve">Negative read:</w:t>
      </w:r>
      <w:r>
        <w:t xml:space="preserve"> </w:t>
      </w:r>
      <w:r>
        <w:t xml:space="preserve">A material deceleration, pricing pressure, or higher investment needs that weaken the margin story.</w:t>
      </w:r>
    </w:p>
    <w:bookmarkEnd w:id="18"/>
    <w:bookmarkStart w:id="19" w:name="X3aa632ce7383842b663280f73884008d28a6463"/>
    <w:p>
      <w:pPr>
        <w:pStyle w:val="Heading3"/>
      </w:pPr>
      <w:r>
        <w:t xml:space="preserve">3. Revenue yield, incentives, and deal discipline</w:t>
      </w:r>
    </w:p>
    <w:p>
      <w:pPr>
        <w:pStyle w:val="FirstParagraph"/>
      </w:pPr>
      <w:r>
        <w:t xml:space="preserve">Mastercard continues to win portfolios and expand in commercial payments, affluent consumer products, virtual cards, and underpenetrated merchant categories. But growth in rebates and incentives is the cost of maintaining that momentum.</w:t>
      </w:r>
    </w:p>
    <w:p>
      <w:pPr>
        <w:pStyle w:val="BodyText"/>
      </w:pPr>
      <w:r>
        <w:t xml:space="preserve">Management guided that rebates and incentives as a percentage of payment-network assessments would be</w:t>
      </w:r>
      <w:r>
        <w:t xml:space="preserve"> </w:t>
      </w:r>
      <w:r>
        <w:rPr>
          <w:b/>
          <w:bCs/>
        </w:rPr>
        <w:t xml:space="preserve">slightly lower sequentially in 2Q</w:t>
      </w:r>
      <w:r>
        <w:t xml:space="preserve">. Investors will watch whether actual results support that commentary and whether net revenue yield remains constructive.</w:t>
      </w:r>
    </w:p>
    <w:bookmarkEnd w:id="19"/>
    <w:bookmarkStart w:id="20" w:name="X4ab673664e388cfd335258729745696162942a2"/>
    <w:p>
      <w:pPr>
        <w:pStyle w:val="Heading3"/>
      </w:pPr>
      <w:r>
        <w:t xml:space="preserve">4. Operating-expense discipline</w:t>
      </w:r>
    </w:p>
    <w:p>
      <w:pPr>
        <w:pStyle w:val="FirstParagraph"/>
      </w:pPr>
      <w:r>
        <w:t xml:space="preserve">The company guided 2Q adjusted operating expenses to grow at the low end of low double digits on a currency-neutral basis. That is not a low-spend posture: Mastercard is investing in infrastructure, geographic expansion, network capabilities, AI, cybersecurity, agentic commerce, stablecoin infrastructure, and commercial payments.</w:t>
      </w:r>
    </w:p>
    <w:p>
      <w:pPr>
        <w:pStyle w:val="BodyText"/>
      </w:pPr>
      <w:r>
        <w:t xml:space="preserve">The question is whether expense growth is controlled sufficiently to preserve operating leverage while funding these initiatives.</w:t>
      </w:r>
    </w:p>
    <w:bookmarkEnd w:id="20"/>
    <w:bookmarkStart w:id="21" w:name="X41f37403b04acdeaba2674a23e3be991188e506"/>
    <w:p>
      <w:pPr>
        <w:pStyle w:val="Heading3"/>
      </w:pPr>
      <w:r>
        <w:t xml:space="preserve">5. Digital assets, stablecoins, and agentic commerce</w:t>
      </w:r>
    </w:p>
    <w:p>
      <w:pPr>
        <w:pStyle w:val="FirstParagraph"/>
      </w:pPr>
      <w:r>
        <w:t xml:space="preserve">These initiatives are unlikely to move 2Q financials materially, but they influence the longer-term narrative.</w:t>
      </w:r>
    </w:p>
    <w:p>
      <w:pPr>
        <w:pStyle w:val="BodyText"/>
      </w:pPr>
      <w:r>
        <w:t xml:space="preserve">Mastercard is pursuing the planned acquisition of BVNK to add stablecoin infrastructure for use cases such as payouts, remittances, cross-border B2B payments, and wallet funding. It is also expanding Mastercard Agent Pay and related authentication tools such as Verifiable Intent.</w:t>
      </w:r>
    </w:p>
    <w:p>
      <w:pPr>
        <w:pStyle w:val="BodyText"/>
      </w:pPr>
      <w:r>
        <w:t xml:space="preserve">Investors should look for evidence of commercial traction rather than near-term revenue claims. The relevant strategic question is whether Mastercard can position itself as the trusted interoperability, security, identity, and settlement layer across new payment rails.</w:t>
      </w:r>
    </w:p>
    <w:p>
      <w:r>
        <w:pict>
          <v:rect style="width:0;height:1.5pt" o:hralign="center" o:hrstd="t" o:hr="t"/>
        </w:pict>
      </w:r>
    </w:p>
    <w:bookmarkEnd w:id="21"/>
    <w:bookmarkEnd w:id="22"/>
    <w:bookmarkStart w:id="26" w:name="scenario-framework"/>
    <w:p>
      <w:pPr>
        <w:pStyle w:val="Heading2"/>
      </w:pPr>
      <w:r>
        <w:t xml:space="preserve">Scenario framework</w:t>
      </w:r>
    </w:p>
    <w:bookmarkStart w:id="23" w:name="bull-case"/>
    <w:p>
      <w:pPr>
        <w:pStyle w:val="Heading3"/>
      </w:pPr>
      <w:r>
        <w:t xml:space="preserve">Bull case</w:t>
      </w:r>
    </w:p>
    <w:p>
      <w:pPr>
        <w:pStyle w:val="Compact"/>
        <w:numPr>
          <w:ilvl w:val="0"/>
          <w:numId w:val="1006"/>
        </w:numPr>
      </w:pPr>
      <w:r>
        <w:t xml:space="preserve">Revenue growth lands above the low end of low double digits on a currency-neutral basis.</w:t>
      </w:r>
    </w:p>
    <w:p>
      <w:pPr>
        <w:pStyle w:val="Compact"/>
        <w:numPr>
          <w:ilvl w:val="0"/>
          <w:numId w:val="1006"/>
        </w:numPr>
      </w:pPr>
      <w:r>
        <w:t xml:space="preserve">Cross-border travel is better than the April trend implied, or deterioration is offset by robust card-not-present international spending.</w:t>
      </w:r>
    </w:p>
    <w:p>
      <w:pPr>
        <w:pStyle w:val="Compact"/>
        <w:numPr>
          <w:ilvl w:val="0"/>
          <w:numId w:val="1006"/>
        </w:numPr>
      </w:pPr>
      <w:r>
        <w:t xml:space="preserve">VAS remains near the 18% organic growth delivered in 1Q.</w:t>
      </w:r>
    </w:p>
    <w:p>
      <w:pPr>
        <w:pStyle w:val="Compact"/>
        <w:numPr>
          <w:ilvl w:val="0"/>
          <w:numId w:val="1006"/>
        </w:numPr>
      </w:pPr>
      <w:r>
        <w:t xml:space="preserve">Expense growth is controlled, producing EPS upside.</w:t>
      </w:r>
    </w:p>
    <w:p>
      <w:pPr>
        <w:pStyle w:val="Compact"/>
        <w:numPr>
          <w:ilvl w:val="0"/>
          <w:numId w:val="1006"/>
        </w:numPr>
      </w:pPr>
      <w:r>
        <w:t xml:space="preserve">Full-year guidance is maintained, with management characterizing geopolitical disruption as manageable and largely travel-specific.</w:t>
      </w:r>
    </w:p>
    <w:bookmarkEnd w:id="23"/>
    <w:bookmarkStart w:id="24" w:name="base-case"/>
    <w:p>
      <w:pPr>
        <w:pStyle w:val="Heading3"/>
      </w:pPr>
      <w:r>
        <w:t xml:space="preserve">Base case</w:t>
      </w:r>
    </w:p>
    <w:p>
      <w:pPr>
        <w:pStyle w:val="Compact"/>
        <w:numPr>
          <w:ilvl w:val="0"/>
          <w:numId w:val="1007"/>
        </w:numPr>
      </w:pPr>
      <w:r>
        <w:t xml:space="preserve">Results broadly align with consensus: approximately</w:t>
      </w:r>
      <w:r>
        <w:t xml:space="preserve"> </w:t>
      </w:r>
      <m:oMath>
        <m:r>
          <m:t>9.1</m:t>
        </m:r>
        <m:r>
          <m:t>B</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4.77 adjusted EPS</w:t>
      </w:r>
      <w:r>
        <w:t xml:space="preserve">.</w:t>
      </w:r>
    </w:p>
    <w:p>
      <w:pPr>
        <w:pStyle w:val="Compact"/>
        <w:numPr>
          <w:ilvl w:val="0"/>
          <w:numId w:val="1007"/>
        </w:numPr>
      </w:pPr>
      <w:r>
        <w:t xml:space="preserve">Cross-border travel remains a drag, but domestic spending, processing, pricing/mix, FX, and VAS offset much of the pressure.</w:t>
      </w:r>
    </w:p>
    <w:p>
      <w:pPr>
        <w:pStyle w:val="Compact"/>
        <w:numPr>
          <w:ilvl w:val="0"/>
          <w:numId w:val="1007"/>
        </w:numPr>
      </w:pPr>
      <w:r>
        <w:t xml:space="preserve">Full-year guidance is maintained but paired with a more cautious discussion of the timing and magnitude of any travel recovery.</w:t>
      </w:r>
    </w:p>
    <w:bookmarkEnd w:id="24"/>
    <w:bookmarkStart w:id="25" w:name="bear-case"/>
    <w:p>
      <w:pPr>
        <w:pStyle w:val="Heading3"/>
      </w:pPr>
      <w:r>
        <w:t xml:space="preserve">Bear case</w:t>
      </w:r>
    </w:p>
    <w:p>
      <w:pPr>
        <w:pStyle w:val="Compact"/>
        <w:numPr>
          <w:ilvl w:val="0"/>
          <w:numId w:val="1008"/>
        </w:numPr>
      </w:pPr>
      <w:r>
        <w:t xml:space="preserve">Cross-border travel and related international-spend trends worsen materially relative to April assumptions.</w:t>
      </w:r>
    </w:p>
    <w:p>
      <w:pPr>
        <w:pStyle w:val="Compact"/>
        <w:numPr>
          <w:ilvl w:val="0"/>
          <w:numId w:val="1008"/>
        </w:numPr>
      </w:pPr>
      <w:r>
        <w:t xml:space="preserve">VAS decelerates noticeably, reducing the primary diversification offset.</w:t>
      </w:r>
    </w:p>
    <w:p>
      <w:pPr>
        <w:pStyle w:val="Compact"/>
        <w:numPr>
          <w:ilvl w:val="0"/>
          <w:numId w:val="1008"/>
        </w:numPr>
      </w:pPr>
      <w:r>
        <w:t xml:space="preserve">Expenses run ahead of revenue due to investment, FX-related costs, or deal-related spending.</w:t>
      </w:r>
    </w:p>
    <w:p>
      <w:pPr>
        <w:pStyle w:val="Compact"/>
        <w:numPr>
          <w:ilvl w:val="0"/>
          <w:numId w:val="1008"/>
        </w:numPr>
      </w:pPr>
      <w:r>
        <w:t xml:space="preserve">Management reduces or de-risks the full-year high-end-of-low-double-digit revenue outlook because the conflict is lasting longer than assumed.</w:t>
      </w:r>
    </w:p>
    <w:p>
      <w:r>
        <w:pict>
          <v:rect style="width:0;height:1.5pt" o:hralign="center" o:hrstd="t" o:hr="t"/>
        </w:pict>
      </w:r>
    </w:p>
    <w:bookmarkEnd w:id="25"/>
    <w:bookmarkEnd w:id="26"/>
    <w:bookmarkStart w:id="28" w:name="investor-takeaway"/>
    <w:p>
      <w:pPr>
        <w:pStyle w:val="Heading2"/>
      </w:pPr>
      <w:r>
        <w:t xml:space="preserve">Investor takeaway</w:t>
      </w:r>
    </w:p>
    <w:p>
      <w:pPr>
        <w:pStyle w:val="FirstParagraph"/>
      </w:pPr>
      <w:r>
        <w:t xml:space="preserve">The 2Q report is likely to reaffirm that Mastercard’s</w:t>
      </w:r>
      <w:r>
        <w:t xml:space="preserve"> </w:t>
      </w:r>
      <w:r>
        <w:rPr>
          <w:b/>
          <w:bCs/>
        </w:rPr>
        <w:t xml:space="preserve">core earnings engine remains healthy</w:t>
      </w:r>
      <w:r>
        <w:t xml:space="preserve">: secular digital-payment adoption, transaction growth, global acceptance expansion, pricing/mix, high-margin processing, and rapidly scaling VAS. Visa’s June-quarter result supports that underlying view.</w:t>
      </w:r>
    </w:p>
    <w:p>
      <w:pPr>
        <w:pStyle w:val="BodyText"/>
      </w:pPr>
      <w:r>
        <w:t xml:space="preserve">But MA’s near-term valuation debate will be driven by the difference between a</w:t>
      </w:r>
      <w:r>
        <w:t xml:space="preserve"> </w:t>
      </w:r>
      <w:r>
        <w:rPr>
          <w:b/>
          <w:bCs/>
        </w:rPr>
        <w:t xml:space="preserve">temporary, geographically concentrated travel disruption</w:t>
      </w:r>
      <w:r>
        <w:t xml:space="preserve"> </w:t>
      </w:r>
      <w:r>
        <w:t xml:space="preserve">and a</w:t>
      </w:r>
      <w:r>
        <w:t xml:space="preserve"> </w:t>
      </w:r>
      <w:r>
        <w:rPr>
          <w:b/>
          <w:bCs/>
        </w:rPr>
        <w:t xml:space="preserve">more persistent cross-border and macro headwind</w:t>
      </w:r>
      <w:r>
        <w:t xml:space="preserve">. Accordingly, the most important output on July 30 is not the reported EPS beat or miss in isolation—it is management’s updated read on July trends, cross-border travel, VAS durability, and the credibility of the second-half recovery embedded in its prior full-year outlook.</w:t>
      </w:r>
    </w:p>
    <w:bookmarkStart w:id="27" w:name="sources"/>
    <w:p>
      <w:pPr>
        <w:pStyle w:val="Heading3"/>
      </w:pPr>
      <w:r>
        <w:t xml:space="preserve">Sources</w:t>
      </w:r>
    </w:p>
    <w:p>
      <w:pPr>
        <w:pStyle w:val="Compact"/>
        <w:numPr>
          <w:ilvl w:val="0"/>
          <w:numId w:val="1009"/>
        </w:numPr>
      </w:pPr>
      <w:r>
        <w:t xml:space="preserve">Mastercard 1Q26 earnings release and April 30, 2026 earnings-call transcript</w:t>
      </w:r>
    </w:p>
    <w:p>
      <w:pPr>
        <w:pStyle w:val="Compact"/>
        <w:numPr>
          <w:ilvl w:val="0"/>
          <w:numId w:val="1009"/>
        </w:numPr>
      </w:pPr>
      <w:r>
        <w:t xml:space="preserve">Mastercard 2Q25 earnings release</w:t>
      </w:r>
    </w:p>
    <w:p>
      <w:pPr>
        <w:pStyle w:val="Compact"/>
        <w:numPr>
          <w:ilvl w:val="0"/>
          <w:numId w:val="1009"/>
        </w:numPr>
      </w:pPr>
      <w:r>
        <w:t xml:space="preserve">Visa fiscal 3Q26 earnings release, July 28, 2026</w:t>
      </w:r>
    </w:p>
    <w:p>
      <w:pPr>
        <w:pStyle w:val="Compact"/>
        <w:numPr>
          <w:ilvl w:val="0"/>
          <w:numId w:val="1009"/>
        </w:numPr>
      </w:pPr>
      <w:r>
        <w:t xml:space="preserve">Market-news consensus snapshot, July 24, 2026</w:t>
      </w:r>
    </w:p>
    <w:bookmarkEnd w:id="27"/>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2026-07-29T18:32:40Z</dcterms:created>
  <dcterms:modified xsi:type="dcterms:W3CDTF">2026-07-29T18:32:40Z</dcterms:modified>
</cp:coreProperties>
</file>

<file path=docProps/custom.xml><?xml version="1.0" encoding="utf-8"?>
<Properties xmlns="http://schemas.openxmlformats.org/officeDocument/2006/custom-properties" xmlns:vt="http://schemas.openxmlformats.org/officeDocument/2006/docPropsVTypes"/>
</file>