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Mastercard Incorporated (MA)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Mastercard Incorporated</w:t>
            </w:r>
          </w:p>
        </w:tc>
      </w:tr>
      <w:tr>
        <w:tc>
          <w:tcPr>
            <w:tcW w:type="dxa" w:w="4320"/>
          </w:tcPr>
          <w:p>
            <w:r>
              <w:rPr>
                <w:rFonts w:ascii="Calibri" w:hAnsi="Calibri"/>
                <w:b/>
                <w:sz w:val="22"/>
              </w:rPr>
              <w:t>Ticker</w:t>
            </w:r>
          </w:p>
        </w:tc>
        <w:tc>
          <w:tcPr>
            <w:tcW w:type="dxa" w:w="4320"/>
          </w:tcPr>
          <w:p>
            <w:r>
              <w:rPr>
                <w:rFonts w:ascii="Calibri" w:hAnsi="Calibri"/>
                <w:sz w:val="22"/>
              </w:rPr>
              <w:t>MA</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ending June 30, 2026)</w:t>
            </w:r>
          </w:p>
        </w:tc>
      </w:tr>
      <w:tr>
        <w:tc>
          <w:tcPr>
            <w:tcW w:type="dxa" w:w="4320"/>
          </w:tcPr>
          <w:p>
            <w:r>
              <w:rPr>
                <w:rFonts w:ascii="Calibri" w:hAnsi="Calibri"/>
                <w:b/>
                <w:sz w:val="22"/>
              </w:rPr>
              <w:t>Expected Earnings Date</w:t>
            </w:r>
          </w:p>
        </w:tc>
        <w:tc>
          <w:tcPr>
            <w:tcW w:type="dxa" w:w="4320"/>
          </w:tcPr>
          <w:p>
            <w:r>
              <w:rPr>
                <w:rFonts w:ascii="Calibri" w:hAnsi="Calibri"/>
                <w:sz w:val="22"/>
              </w:rPr>
              <w:t>Late July 2026 (exact date TBD; conference call announced)</w:t>
            </w:r>
          </w:p>
        </w:tc>
      </w:tr>
      <w:tr>
        <w:tc>
          <w:tcPr>
            <w:tcW w:type="dxa" w:w="4320"/>
          </w:tcPr>
          <w:p>
            <w:r>
              <w:rPr>
                <w:rFonts w:ascii="Calibri" w:hAnsi="Calibri"/>
                <w:b/>
                <w:sz w:val="22"/>
              </w:rPr>
              <w:t>Last Earnings Date</w:t>
            </w:r>
          </w:p>
        </w:tc>
        <w:tc>
          <w:tcPr>
            <w:tcW w:type="dxa" w:w="4320"/>
          </w:tcPr>
          <w:p>
            <w:r>
              <w:rPr>
                <w:rFonts w:ascii="Calibri" w:hAnsi="Calibri"/>
                <w:sz w:val="22"/>
              </w:rPr>
              <w:t>April 30, 2026 (Q1 2026)</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r>
        <w:tc>
          <w:tcPr>
            <w:tcW w:type="dxa" w:w="4320"/>
          </w:tcPr>
          <w:p>
            <w:r>
              <w:rPr>
                <w:rFonts w:ascii="Calibri" w:hAnsi="Calibri"/>
                <w:b/>
                <w:sz w:val="22"/>
              </w:rPr>
              <w:t>Sector ETF</w:t>
            </w:r>
          </w:p>
        </w:tc>
        <w:tc>
          <w:tcPr>
            <w:tcW w:type="dxa" w:w="4320"/>
          </w:tcPr>
          <w:p>
            <w:r>
              <w:rPr>
                <w:rFonts w:ascii="Calibri" w:hAnsi="Calibri"/>
                <w:sz w:val="22"/>
              </w:rPr>
              <w:t>XLF (Financial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constructive — consensus sits at the low end of management's own guidance range, peer data from Visa and Amex confirm accelerating spend and cross-border recovery, and the Middle East conflict headwind that spooked the market on the Q1 print appears to be fading; the biggest swing factor is whether </w:t>
      </w:r>
      <w:r>
        <w:rPr>
          <w:rFonts w:ascii="Calibri" w:hAnsi="Calibri"/>
          <w:b/>
          <w:color w:val="525866"/>
          <w:sz w:val="22"/>
        </w:rPr>
        <w:t>cross-border travel volume</w:t>
      </w:r>
      <w:r>
        <w:rPr>
          <w:rFonts w:ascii="Calibri" w:hAnsi="Calibri"/>
          <w:color w:val="525866"/>
          <w:sz w:val="22"/>
        </w:rPr>
        <w:t xml:space="preserve"> has recovered enough in Q2 to push net revenue growth toward the high end of the low-double-digit guidance range.</w:t>
      </w:r>
    </w:p>
    <w:p>
      <w:r>
        <w:rPr>
          <w:rFonts w:ascii="Calibri" w:hAnsi="Calibri"/>
          <w:color w:val="525866"/>
          <w:sz w:val="22"/>
        </w:rPr>
        <w:t>Heading into Q2 2026, Mastercard's setup looks modestly favorable: management guided net revenue growth to the "low end of low-double-digits" on a currency-neutral basis, a deliberately conservative bar set against the backdrop of Middle East conflict-driven cross-border travel weakness that was most acute in April. Since then, CFO Sachin Mehra confirmed at the May 19 JP Morgan conference that trends through the first two weeks of May were "stable to slightly better" across all metrics, with April timing distortions from Ramadan/Easter reversing as expected — consistent with management's base case that conflict impacts would be most pronounced in Q2 before a progressive H2 recovery. Estimate revisions have been essentially flat since the Q1 print, with consensus net revenue for Q2 2026 at ~$9.08B (implying ~10.5% currency-neutral growth) sitting just inside the guidance range, leaving limited downside risk from a bar-setting perspective. The stock has recovered strongly since the Q1 earnings-day selloff — up ~12% since April 30 vs. ~2% for the S&amp;P 500 — suggesting the market has already partially re-rated the Middle East headwind as transient, though the stock's outperformance means a clean beat is needed to sustain momentum. The key wildcard is the pace of cross-border travel recovery: Visa's fiscal Q3 (ending June 2026) showed travel-related cross-border volume up 10% with a FIFA World Cup boost in June, and Amex reported global travel bookings up 22% YoY — both pointing to a healthier-than-feared travel environment that could push MA's cross-border growth above the ~11% consensus estimate for Q2.</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relative to management's own guidance — Q2 net revenue consensus of ~$9.08B implies ~10.5% currency-neutral growth, sitting at the low end of the "low-double-digit" guidance range, leaving room for a beat. </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($B)</w:t>
            </w:r>
          </w:p>
        </w:tc>
        <w:tc>
          <w:tcPr>
            <w:tcW w:type="dxa" w:w="1234"/>
          </w:tcPr>
          <w:p>
            <w:r>
              <w:rPr>
                <w:rFonts w:ascii="Calibri" w:hAnsi="Calibri"/>
                <w:sz w:val="22"/>
              </w:rPr>
              <w:t>$8.40B</w:t>
            </w:r>
          </w:p>
        </w:tc>
        <w:tc>
          <w:tcPr>
            <w:tcW w:type="dxa" w:w="1234"/>
          </w:tcPr>
          <w:p>
            <w:r>
              <w:rPr>
                <w:rFonts w:ascii="Calibri" w:hAnsi="Calibri"/>
                <w:sz w:val="22"/>
              </w:rPr>
              <w:t>$8.13B</w:t>
            </w:r>
          </w:p>
        </w:tc>
        <w:tc>
          <w:tcPr>
            <w:tcW w:type="dxa" w:w="1234"/>
          </w:tcPr>
          <w:p>
            <w:r>
              <w:rPr>
                <w:rFonts w:ascii="Calibri" w:hAnsi="Calibri"/>
                <w:sz w:val="22"/>
              </w:rPr>
              <w:t>$9.08B</w:t>
            </w:r>
          </w:p>
        </w:tc>
        <w:tc>
          <w:tcPr>
            <w:tcW w:type="dxa" w:w="1234"/>
          </w:tcPr>
          <w:p>
            <w:r>
              <w:rPr>
                <w:rFonts w:ascii="Calibri" w:hAnsi="Calibri"/>
                <w:sz w:val="22"/>
              </w:rPr>
              <w:t>+11.7%</w:t>
            </w:r>
          </w:p>
        </w:tc>
        <w:tc>
          <w:tcPr>
            <w:tcW w:type="dxa" w:w="1234"/>
          </w:tcPr>
          <w:p>
            <w:r>
              <w:rPr>
                <w:rFonts w:ascii="Calibri" w:hAnsi="Calibri"/>
                <w:sz w:val="22"/>
              </w:rPr>
              <w:t>Low end of low-double-digits (CN, ex-inorganic) + ~1-2 ppt FX tailwind</w:t>
            </w:r>
          </w:p>
        </w:tc>
        <w:tc>
          <w:tcPr>
            <w:tcW w:type="dxa" w:w="1234"/>
          </w:tcPr>
          <w:p>
            <w:r>
              <w:rPr>
                <w:rFonts w:ascii="Calibri" w:hAnsi="Calibri"/>
                <w:sz w:val="22"/>
              </w:rPr>
              <w:t>~At low end of range</w:t>
            </w:r>
          </w:p>
        </w:tc>
      </w:tr>
      <w:tr>
        <w:tc>
          <w:tcPr>
            <w:tcW w:type="dxa" w:w="1234"/>
          </w:tcPr>
          <w:p>
            <w:r>
              <w:rPr>
                <w:rFonts w:ascii="Calibri" w:hAnsi="Calibri"/>
                <w:sz w:val="22"/>
              </w:rPr>
              <w:t>Net Revenue Growth (CN %)</w:t>
            </w:r>
          </w:p>
        </w:tc>
        <w:tc>
          <w:tcPr>
            <w:tcW w:type="dxa" w:w="1234"/>
          </w:tcPr>
          <w:p>
            <w:r>
              <w:rPr>
                <w:rFonts w:ascii="Calibri" w:hAnsi="Calibri"/>
                <w:sz w:val="22"/>
              </w:rPr>
              <w:t>12% CN</w:t>
            </w:r>
          </w:p>
        </w:tc>
        <w:tc>
          <w:tcPr>
            <w:tcW w:type="dxa" w:w="1234"/>
          </w:tcPr>
          <w:p>
            <w:r>
              <w:rPr>
                <w:rFonts w:ascii="Calibri" w:hAnsi="Calibri"/>
                <w:sz w:val="22"/>
              </w:rPr>
              <w:t>16% CN</w:t>
            </w:r>
          </w:p>
        </w:tc>
        <w:tc>
          <w:tcPr>
            <w:tcW w:type="dxa" w:w="1234"/>
          </w:tcPr>
          <w:p>
            <w:r>
              <w:rPr>
                <w:rFonts w:ascii="Calibri" w:hAnsi="Calibri"/>
                <w:sz w:val="22"/>
              </w:rPr>
              <w:t>~10.5% CN</w:t>
            </w:r>
          </w:p>
        </w:tc>
        <w:tc>
          <w:tcPr>
            <w:tcW w:type="dxa" w:w="1234"/>
          </w:tcPr>
          <w:p>
            <w:r>
              <w:rPr>
                <w:rFonts w:ascii="Calibri" w:hAnsi="Calibri"/>
                <w:sz w:val="22"/>
              </w:rPr>
              <w:t>-5.5 ppt YoY</w:t>
            </w:r>
          </w:p>
        </w:tc>
        <w:tc>
          <w:tcPr>
            <w:tcW w:type="dxa" w:w="1234"/>
          </w:tcPr>
          <w:p>
            <w:r>
              <w:rPr>
                <w:rFonts w:ascii="Calibri" w:hAnsi="Calibri"/>
                <w:sz w:val="22"/>
              </w:rPr>
              <w:t>Low end of low-double-digits</w:t>
            </w:r>
          </w:p>
        </w:tc>
        <w:tc>
          <w:tcPr>
            <w:tcW w:type="dxa" w:w="1234"/>
          </w:tcPr>
          <w:p>
            <w:r>
              <w:rPr>
                <w:rFonts w:ascii="Calibri" w:hAnsi="Calibri"/>
                <w:sz w:val="22"/>
              </w:rPr>
              <w:t>At low end</w:t>
            </w:r>
          </w:p>
        </w:tc>
      </w:tr>
      <w:tr>
        <w:tc>
          <w:tcPr>
            <w:tcW w:type="dxa" w:w="1234"/>
          </w:tcPr>
          <w:p>
            <w:r>
              <w:rPr>
                <w:rFonts w:ascii="Calibri" w:hAnsi="Calibri"/>
                <w:sz w:val="22"/>
              </w:rPr>
              <w:t>EPS — Diluted Operating ($)</w:t>
            </w:r>
          </w:p>
        </w:tc>
        <w:tc>
          <w:tcPr>
            <w:tcW w:type="dxa" w:w="1234"/>
          </w:tcPr>
          <w:p>
            <w:r>
              <w:rPr>
                <w:rFonts w:ascii="Calibri" w:hAnsi="Calibri"/>
                <w:sz w:val="22"/>
              </w:rPr>
              <w:t>$4.60</w:t>
            </w:r>
          </w:p>
        </w:tc>
        <w:tc>
          <w:tcPr>
            <w:tcW w:type="dxa" w:w="1234"/>
          </w:tcPr>
          <w:p>
            <w:r>
              <w:rPr>
                <w:rFonts w:ascii="Calibri" w:hAnsi="Calibri"/>
                <w:sz w:val="22"/>
              </w:rPr>
              <w:t>$4.15</w:t>
            </w:r>
          </w:p>
        </w:tc>
        <w:tc>
          <w:tcPr>
            <w:tcW w:type="dxa" w:w="1234"/>
          </w:tcPr>
          <w:p>
            <w:r>
              <w:rPr>
                <w:rFonts w:ascii="Calibri" w:hAnsi="Calibri"/>
                <w:sz w:val="22"/>
              </w:rPr>
              <w:t>$4.77</w:t>
            </w:r>
          </w:p>
        </w:tc>
        <w:tc>
          <w:tcPr>
            <w:tcW w:type="dxa" w:w="1234"/>
          </w:tcPr>
          <w:p>
            <w:r>
              <w:rPr>
                <w:rFonts w:ascii="Calibri" w:hAnsi="Calibri"/>
                <w:sz w:val="22"/>
              </w:rPr>
              <w:t>+14.9%</w:t>
            </w:r>
          </w:p>
        </w:tc>
        <w:tc>
          <w:tcPr>
            <w:tcW w:type="dxa" w:w="1234"/>
          </w:tcPr>
          <w:p>
            <w:r>
              <w:rPr>
                <w:rFonts w:ascii="Calibri" w:hAnsi="Calibri"/>
                <w:sz w:val="22"/>
              </w:rPr>
              <w:t>No explicit EPS guidance</w:t>
            </w:r>
          </w:p>
        </w:tc>
        <w:tc>
          <w:tcPr>
            <w:tcW w:type="dxa" w:w="1234"/>
          </w:tcPr>
          <w:p>
            <w:r>
              <w:rPr>
                <w:rFonts w:ascii="Calibri" w:hAnsi="Calibri"/>
                <w:sz w:val="22"/>
              </w:rPr>
              <w:t>N/A</w:t>
            </w:r>
          </w:p>
        </w:tc>
      </w:tr>
      <w:tr>
        <w:tc>
          <w:tcPr>
            <w:tcW w:type="dxa" w:w="1234"/>
          </w:tcPr>
          <w:p>
            <w:r>
              <w:rPr>
                <w:rFonts w:ascii="Calibri" w:hAnsi="Calibri"/>
                <w:sz w:val="22"/>
              </w:rPr>
              <w:t>Cross-Border Volume Growth (CN %)</w:t>
            </w:r>
          </w:p>
        </w:tc>
        <w:tc>
          <w:tcPr>
            <w:tcW w:type="dxa" w:w="1234"/>
          </w:tcPr>
          <w:p>
            <w:r>
              <w:rPr>
                <w:rFonts w:ascii="Calibri" w:hAnsi="Calibri"/>
                <w:sz w:val="22"/>
              </w:rPr>
              <w:t>13%</w:t>
            </w:r>
          </w:p>
        </w:tc>
        <w:tc>
          <w:tcPr>
            <w:tcW w:type="dxa" w:w="1234"/>
          </w:tcPr>
          <w:p>
            <w:r>
              <w:rPr>
                <w:rFonts w:ascii="Calibri" w:hAnsi="Calibri"/>
                <w:sz w:val="22"/>
              </w:rPr>
              <w:t>15%</w:t>
            </w:r>
          </w:p>
        </w:tc>
        <w:tc>
          <w:tcPr>
            <w:tcW w:type="dxa" w:w="1234"/>
          </w:tcPr>
          <w:p>
            <w:r>
              <w:rPr>
                <w:rFonts w:ascii="Calibri" w:hAnsi="Calibri"/>
                <w:sz w:val="22"/>
              </w:rPr>
              <w:t>~10.9%</w:t>
            </w:r>
          </w:p>
        </w:tc>
        <w:tc>
          <w:tcPr>
            <w:tcW w:type="dxa" w:w="1234"/>
          </w:tcPr>
          <w:p>
            <w:r>
              <w:rPr>
                <w:rFonts w:ascii="Calibri" w:hAnsi="Calibri"/>
                <w:sz w:val="22"/>
              </w:rPr>
              <w:t>-4.1 ppt YoY</w:t>
            </w:r>
          </w:p>
        </w:tc>
        <w:tc>
          <w:tcPr>
            <w:tcW w:type="dxa" w:w="1234"/>
          </w:tcPr>
          <w:p>
            <w:r>
              <w:rPr>
                <w:rFonts w:ascii="Calibri" w:hAnsi="Calibri"/>
                <w:sz w:val="22"/>
              </w:rPr>
              <w:t>Implied deceleration from conflict; recovery assumed in H2</w:t>
            </w:r>
          </w:p>
        </w:tc>
        <w:tc>
          <w:tcPr>
            <w:tcW w:type="dxa" w:w="1234"/>
          </w:tcPr>
          <w:p>
            <w:r>
              <w:rPr>
                <w:rFonts w:ascii="Calibri" w:hAnsi="Calibri"/>
                <w:sz w:val="22"/>
              </w:rPr>
              <w:t>Below prior-year pace; conflict drag</w:t>
            </w:r>
          </w:p>
        </w:tc>
      </w:tr>
      <w:tr>
        <w:tc>
          <w:tcPr>
            <w:tcW w:type="dxa" w:w="1234"/>
          </w:tcPr>
          <w:p>
            <w:r>
              <w:rPr>
                <w:rFonts w:ascii="Calibri" w:hAnsi="Calibri"/>
                <w:sz w:val="22"/>
              </w:rPr>
              <w:t>Switched Transactions (B)</w:t>
            </w:r>
          </w:p>
        </w:tc>
        <w:tc>
          <w:tcPr>
            <w:tcW w:type="dxa" w:w="1234"/>
          </w:tcPr>
          <w:p>
            <w:r>
              <w:rPr>
                <w:rFonts w:ascii="Calibri" w:hAnsi="Calibri"/>
                <w:sz w:val="22"/>
              </w:rPr>
              <w:t>43.8B</w:t>
            </w:r>
          </w:p>
        </w:tc>
        <w:tc>
          <w:tcPr>
            <w:tcW w:type="dxa" w:w="1234"/>
          </w:tcPr>
          <w:p>
            <w:r>
              <w:rPr>
                <w:rFonts w:ascii="Calibri" w:hAnsi="Calibri"/>
                <w:sz w:val="22"/>
              </w:rPr>
              <w:t>43.5B</w:t>
            </w:r>
          </w:p>
        </w:tc>
        <w:tc>
          <w:tcPr>
            <w:tcW w:type="dxa" w:w="1234"/>
          </w:tcPr>
          <w:p>
            <w:r>
              <w:rPr>
                <w:rFonts w:ascii="Calibri" w:hAnsi="Calibri"/>
                <w:sz w:val="22"/>
              </w:rPr>
              <w:t>47.7B</w:t>
            </w:r>
          </w:p>
        </w:tc>
        <w:tc>
          <w:tcPr>
            <w:tcW w:type="dxa" w:w="1234"/>
          </w:tcPr>
          <w:p>
            <w:r>
              <w:rPr>
                <w:rFonts w:ascii="Calibri" w:hAnsi="Calibri"/>
                <w:sz w:val="22"/>
              </w:rPr>
              <w:t>+9.7%</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VASS Net Revenue ($B)</w:t>
            </w:r>
          </w:p>
        </w:tc>
        <w:tc>
          <w:tcPr>
            <w:tcW w:type="dxa" w:w="1234"/>
          </w:tcPr>
          <w:p>
            <w:r>
              <w:rPr>
                <w:rFonts w:ascii="Calibri" w:hAnsi="Calibri"/>
                <w:sz w:val="22"/>
              </w:rPr>
              <w:t>$3.45B</w:t>
            </w:r>
          </w:p>
        </w:tc>
        <w:tc>
          <w:tcPr>
            <w:tcW w:type="dxa" w:w="1234"/>
          </w:tcPr>
          <w:p>
            <w:r>
              <w:rPr>
                <w:rFonts w:ascii="Calibri" w:hAnsi="Calibri"/>
                <w:sz w:val="22"/>
              </w:rPr>
              <w:t>$3.19B</w:t>
            </w:r>
          </w:p>
        </w:tc>
        <w:tc>
          <w:tcPr>
            <w:tcW w:type="dxa" w:w="1234"/>
          </w:tcPr>
          <w:p>
            <w:r>
              <w:rPr>
                <w:rFonts w:ascii="Calibri" w:hAnsi="Calibri"/>
                <w:sz w:val="22"/>
              </w:rPr>
              <w:t>$3.74B</w:t>
            </w:r>
          </w:p>
        </w:tc>
        <w:tc>
          <w:tcPr>
            <w:tcW w:type="dxa" w:w="1234"/>
          </w:tcPr>
          <w:p>
            <w:r>
              <w:rPr>
                <w:rFonts w:ascii="Calibri" w:hAnsi="Calibri"/>
                <w:sz w:val="22"/>
              </w:rPr>
              <w:t>+17.2%</w:t>
            </w:r>
          </w:p>
        </w:tc>
        <w:tc>
          <w:tcPr>
            <w:tcW w:type="dxa" w:w="1234"/>
          </w:tcPr>
          <w:p>
            <w:r>
              <w:rPr>
                <w:rFonts w:ascii="Calibri" w:hAnsi="Calibri"/>
                <w:sz w:val="22"/>
              </w:rPr>
              <w:t>No explicit guidance; organic growth ~18% in Q1</w:t>
            </w:r>
          </w:p>
        </w:tc>
        <w:tc>
          <w:tcPr>
            <w:tcW w:type="dxa" w:w="1234"/>
          </w:tcPr>
          <w:p>
            <w:r>
              <w:rPr>
                <w:rFonts w:ascii="Calibri" w:hAnsi="Calibri"/>
                <w:sz w:val="22"/>
              </w:rPr>
              <w:t>N/A</w:t>
            </w:r>
          </w:p>
        </w:tc>
      </w:tr>
      <w:tr>
        <w:tc>
          <w:tcPr>
            <w:tcW w:type="dxa" w:w="1234"/>
          </w:tcPr>
          <w:p>
            <w:r>
              <w:rPr>
                <w:rFonts w:ascii="Calibri" w:hAnsi="Calibri"/>
                <w:sz w:val="22"/>
              </w:rPr>
              <w:t>Operating Income — Operating ($B)</w:t>
            </w:r>
          </w:p>
        </w:tc>
        <w:tc>
          <w:tcPr>
            <w:tcW w:type="dxa" w:w="1234"/>
          </w:tcPr>
          <w:p>
            <w:r>
              <w:rPr>
                <w:rFonts w:ascii="Calibri" w:hAnsi="Calibri"/>
                <w:sz w:val="22"/>
              </w:rPr>
              <w:t>$5.11B</w:t>
            </w:r>
          </w:p>
        </w:tc>
        <w:tc>
          <w:tcPr>
            <w:tcW w:type="dxa" w:w="1234"/>
          </w:tcPr>
          <w:p>
            <w:r>
              <w:rPr>
                <w:rFonts w:ascii="Calibri" w:hAnsi="Calibri"/>
                <w:sz w:val="22"/>
              </w:rPr>
              <w:t>$4.87B</w:t>
            </w:r>
          </w:p>
        </w:tc>
        <w:tc>
          <w:tcPr>
            <w:tcW w:type="dxa" w:w="1234"/>
          </w:tcPr>
          <w:p>
            <w:r>
              <w:rPr>
                <w:rFonts w:ascii="Calibri" w:hAnsi="Calibri"/>
                <w:sz w:val="22"/>
              </w:rPr>
              <w:t>$5.47B</w:t>
            </w:r>
          </w:p>
        </w:tc>
        <w:tc>
          <w:tcPr>
            <w:tcW w:type="dxa" w:w="1234"/>
          </w:tcPr>
          <w:p>
            <w:r>
              <w:rPr>
                <w:rFonts w:ascii="Calibri" w:hAnsi="Calibri"/>
                <w:sz w:val="22"/>
              </w:rPr>
              <w:t>+12.3%</w:t>
            </w:r>
          </w:p>
        </w:tc>
        <w:tc>
          <w:tcPr>
            <w:tcW w:type="dxa" w:w="1234"/>
          </w:tcPr>
          <w:p>
            <w:r>
              <w:rPr>
                <w:rFonts w:ascii="Calibri" w:hAnsi="Calibri"/>
                <w:sz w:val="22"/>
              </w:rPr>
              <w:t>Opex growth: low end of low-double-digits (CN)</w:t>
            </w:r>
          </w:p>
        </w:tc>
        <w:tc>
          <w:tcPr>
            <w:tcW w:type="dxa" w:w="1234"/>
          </w:tcPr>
          <w:p>
            <w:r>
              <w:rPr>
                <w:rFonts w:ascii="Calibri" w:hAnsi="Calibri"/>
                <w:sz w:val="22"/>
              </w:rPr>
              <w:t>Consistent with guidance</w:t>
            </w:r>
          </w:p>
        </w:tc>
      </w:tr>
      <w:tr>
        <w:tc>
          <w:tcPr>
            <w:tcW w:type="dxa" w:w="1234"/>
          </w:tcPr>
          <w:p>
            <w:r>
              <w:rPr>
                <w:rFonts w:ascii="Calibri" w:hAnsi="Calibri"/>
                <w:sz w:val="22"/>
              </w:rPr>
              <w:t>Rebates &amp; Incentives ($B)</w:t>
            </w:r>
          </w:p>
        </w:tc>
        <w:tc>
          <w:tcPr>
            <w:tcW w:type="dxa" w:w="1234"/>
          </w:tcPr>
          <w:p>
            <w:r>
              <w:rPr>
                <w:rFonts w:ascii="Calibri" w:hAnsi="Calibri"/>
                <w:sz w:val="22"/>
              </w:rPr>
              <w:t>-$5.64B</w:t>
            </w:r>
          </w:p>
        </w:tc>
        <w:tc>
          <w:tcPr>
            <w:tcW w:type="dxa" w:w="1234"/>
          </w:tcPr>
          <w:p>
            <w:r>
              <w:rPr>
                <w:rFonts w:ascii="Calibri" w:hAnsi="Calibri"/>
                <w:sz w:val="22"/>
              </w:rPr>
              <w:t>-$4.92B</w:t>
            </w:r>
          </w:p>
        </w:tc>
        <w:tc>
          <w:tcPr>
            <w:tcW w:type="dxa" w:w="1234"/>
          </w:tcPr>
          <w:p>
            <w:r>
              <w:rPr>
                <w:rFonts w:ascii="Calibri" w:hAnsi="Calibri"/>
                <w:sz w:val="22"/>
              </w:rPr>
              <w:t>-$5.75B</w:t>
            </w:r>
          </w:p>
        </w:tc>
        <w:tc>
          <w:tcPr>
            <w:tcW w:type="dxa" w:w="1234"/>
          </w:tcPr>
          <w:p>
            <w:r>
              <w:rPr>
                <w:rFonts w:ascii="Calibri" w:hAnsi="Calibri"/>
                <w:sz w:val="22"/>
              </w:rPr>
              <w:t>+16.8% YoY</w:t>
            </w:r>
          </w:p>
        </w:tc>
        <w:tc>
          <w:tcPr>
            <w:tcW w:type="dxa" w:w="1234"/>
          </w:tcPr>
          <w:p>
            <w:r>
              <w:rPr>
                <w:rFonts w:ascii="Calibri" w:hAnsi="Calibri"/>
                <w:sz w:val="22"/>
              </w:rPr>
              <w:t>Slightly lower sequentially vs. Q1 as % of assessments</w:t>
            </w:r>
          </w:p>
        </w:tc>
        <w:tc>
          <w:tcPr>
            <w:tcW w:type="dxa" w:w="1234"/>
          </w:tcPr>
          <w:p>
            <w:r>
              <w:rPr>
                <w:rFonts w:ascii="Calibri" w:hAnsi="Calibri"/>
                <w:sz w:val="22"/>
              </w:rPr>
              <w:t>Slight sequential improvement</w:t>
            </w:r>
          </w:p>
        </w:tc>
      </w:tr>
    </w:tbl>
    <w:p>
      <w:r>
        <w:rPr>
          <w:rFonts w:ascii="Calibri" w:hAnsi="Calibri"/>
          <w:i/>
          <w:color w:val="525866"/>
          <w:sz w:val="22"/>
        </w:rPr>
        <w:t>Source: Visible Alpha Consensus and Actuals Data. Q2 2026 Consensus as of July 29, 2026. CN = currency-neutral, ex-inorganic. VASS = Value-Added Services &amp; Solutions.</w:t>
      </w:r>
    </w:p>
    <w:p>
      <w:pPr>
        <w:pStyle w:val="Heading3"/>
      </w:pPr>
      <w:r>
        <w:rPr>
          <w:rFonts w:ascii="Calibri" w:hAnsi="Calibri"/>
          <w:b/>
          <w:color w:val="3B4259"/>
          <w:sz w:val="24"/>
        </w:rPr>
        <w:t>Table 2 — Beat/Miss History: Top 2 KPIs (Last 8 Quarters)</w:t>
      </w:r>
    </w:p>
    <w:p>
      <w:r>
        <w:rPr>
          <w:rFonts w:ascii="Calibri" w:hAnsi="Calibri"/>
          <w:color w:val="525866"/>
          <w:sz w:val="22"/>
        </w:rPr>
        <w:t>KPI 1: Net Revenue (Reported,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$6.96B</w:t>
            </w:r>
          </w:p>
        </w:tc>
        <w:tc>
          <w:tcPr>
            <w:tcW w:type="dxa" w:w="1728"/>
          </w:tcPr>
          <w:p>
            <w:r>
              <w:rPr>
                <w:rFonts w:ascii="Calibri" w:hAnsi="Calibri"/>
                <w:sz w:val="22"/>
              </w:rPr>
              <w:t>$6.85B</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$7.37B</w:t>
            </w:r>
          </w:p>
        </w:tc>
        <w:tc>
          <w:tcPr>
            <w:tcW w:type="dxa" w:w="1728"/>
          </w:tcPr>
          <w:p>
            <w:r>
              <w:rPr>
                <w:rFonts w:ascii="Calibri" w:hAnsi="Calibri"/>
                <w:sz w:val="22"/>
              </w:rPr>
              <w:t>$7.26B</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$7.49B</w:t>
            </w:r>
          </w:p>
        </w:tc>
        <w:tc>
          <w:tcPr>
            <w:tcW w:type="dxa" w:w="1728"/>
          </w:tcPr>
          <w:p>
            <w:r>
              <w:rPr>
                <w:rFonts w:ascii="Calibri" w:hAnsi="Calibri"/>
                <w:sz w:val="22"/>
              </w:rPr>
              <w:t>$7.39B</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$7.25B</w:t>
            </w:r>
          </w:p>
        </w:tc>
        <w:tc>
          <w:tcPr>
            <w:tcW w:type="dxa" w:w="1728"/>
          </w:tcPr>
          <w:p>
            <w:r>
              <w:rPr>
                <w:rFonts w:ascii="Calibri" w:hAnsi="Calibri"/>
                <w:sz w:val="22"/>
              </w:rPr>
              <w:t>$7.12B</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$8.13B</w:t>
            </w:r>
          </w:p>
        </w:tc>
        <w:tc>
          <w:tcPr>
            <w:tcW w:type="dxa" w:w="1728"/>
          </w:tcPr>
          <w:p>
            <w:r>
              <w:rPr>
                <w:rFonts w:ascii="Calibri" w:hAnsi="Calibri"/>
                <w:sz w:val="22"/>
              </w:rPr>
              <w:t>$7.97B</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$8.60B</w:t>
            </w:r>
          </w:p>
        </w:tc>
        <w:tc>
          <w:tcPr>
            <w:tcW w:type="dxa" w:w="1728"/>
          </w:tcPr>
          <w:p>
            <w:r>
              <w:rPr>
                <w:rFonts w:ascii="Calibri" w:hAnsi="Calibri"/>
                <w:sz w:val="22"/>
              </w:rPr>
              <w:t>$8.53B</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$8.81B</w:t>
            </w:r>
          </w:p>
        </w:tc>
        <w:tc>
          <w:tcPr>
            <w:tcW w:type="dxa" w:w="1728"/>
          </w:tcPr>
          <w:p>
            <w:r>
              <w:rPr>
                <w:rFonts w:ascii="Calibri" w:hAnsi="Calibri"/>
                <w:sz w:val="22"/>
              </w:rPr>
              <w:t>$8.77B</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$8.40B</w:t>
            </w:r>
          </w:p>
        </w:tc>
        <w:tc>
          <w:tcPr>
            <w:tcW w:type="dxa" w:w="1728"/>
          </w:tcPr>
          <w:p>
            <w:r>
              <w:rPr>
                <w:rFonts w:ascii="Calibri" w:hAnsi="Calibri"/>
                <w:sz w:val="22"/>
              </w:rPr>
              <w:t>$8.25B</w:t>
            </w:r>
          </w:p>
        </w:tc>
        <w:tc>
          <w:tcPr>
            <w:tcW w:type="dxa" w:w="1728"/>
          </w:tcPr>
          <w:p>
            <w:r>
              <w:rPr>
                <w:rFonts w:ascii="Calibri" w:hAnsi="Calibri"/>
                <w:sz w:val="22"/>
              </w:rPr>
              <w:t>+1.8%</w:t>
            </w:r>
          </w:p>
        </w:tc>
        <w:tc>
          <w:tcPr>
            <w:tcW w:type="dxa" w:w="1728"/>
          </w:tcPr>
          <w:p>
            <w:r>
              <w:rPr>
                <w:rFonts w:ascii="Calibri" w:hAnsi="Calibri"/>
                <w:b/>
                <w:color w:val="30A46C"/>
                <w:sz w:val="22"/>
              </w:rPr>
              <w:t>Beat</w:t>
            </w:r>
          </w:p>
        </w:tc>
      </w:tr>
    </w:tbl>
    <w:p>
      <w:r>
        <w:rPr>
          <w:rFonts w:ascii="Calibri" w:hAnsi="Calibri"/>
          <w:color w:val="525866"/>
          <w:sz w:val="22"/>
        </w:rPr>
        <w:t>KPI 2: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$3.59</w:t>
            </w:r>
          </w:p>
        </w:tc>
        <w:tc>
          <w:tcPr>
            <w:tcW w:type="dxa" w:w="1728"/>
          </w:tcPr>
          <w:p>
            <w:r>
              <w:rPr>
                <w:rFonts w:ascii="Calibri" w:hAnsi="Calibri"/>
                <w:sz w:val="22"/>
              </w:rPr>
              <w:t>$3.52</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$3.88</w:t>
            </w:r>
          </w:p>
        </w:tc>
        <w:tc>
          <w:tcPr>
            <w:tcW w:type="dxa" w:w="1728"/>
          </w:tcPr>
          <w:p>
            <w:r>
              <w:rPr>
                <w:rFonts w:ascii="Calibri" w:hAnsi="Calibri"/>
                <w:sz w:val="22"/>
              </w:rPr>
              <w:t>$3.73</w:t>
            </w:r>
          </w:p>
        </w:tc>
        <w:tc>
          <w:tcPr>
            <w:tcW w:type="dxa" w:w="1728"/>
          </w:tcPr>
          <w:p>
            <w:r>
              <w:rPr>
                <w:rFonts w:ascii="Calibri" w:hAnsi="Calibri"/>
                <w:sz w:val="22"/>
              </w:rPr>
              <w:t>+4.0%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$3.82</w:t>
            </w:r>
          </w:p>
        </w:tc>
        <w:tc>
          <w:tcPr>
            <w:tcW w:type="dxa" w:w="1728"/>
          </w:tcPr>
          <w:p>
            <w:r>
              <w:rPr>
                <w:rFonts w:ascii="Calibri" w:hAnsi="Calibri"/>
                <w:sz w:val="22"/>
              </w:rPr>
              <w:t>$3.70</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$3.73</w:t>
            </w:r>
          </w:p>
        </w:tc>
        <w:tc>
          <w:tcPr>
            <w:tcW w:type="dxa" w:w="1728"/>
          </w:tcPr>
          <w:p>
            <w:r>
              <w:rPr>
                <w:rFonts w:ascii="Calibri" w:hAnsi="Calibri"/>
                <w:sz w:val="22"/>
              </w:rPr>
              <w:t>$3.57</w:t>
            </w:r>
          </w:p>
        </w:tc>
        <w:tc>
          <w:tcPr>
            <w:tcW w:type="dxa" w:w="1728"/>
          </w:tcPr>
          <w:p>
            <w:r>
              <w:rPr>
                <w:rFonts w:ascii="Calibri" w:hAnsi="Calibri"/>
                <w:sz w:val="22"/>
              </w:rPr>
              <w:t>+4.5%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$4.15</w:t>
            </w:r>
          </w:p>
        </w:tc>
        <w:tc>
          <w:tcPr>
            <w:tcW w:type="dxa" w:w="1728"/>
          </w:tcPr>
          <w:p>
            <w:r>
              <w:rPr>
                <w:rFonts w:ascii="Calibri" w:hAnsi="Calibri"/>
                <w:sz w:val="22"/>
              </w:rPr>
              <w:t>$4.03</w:t>
            </w:r>
          </w:p>
        </w:tc>
        <w:tc>
          <w:tcPr>
            <w:tcW w:type="dxa" w:w="1728"/>
          </w:tcPr>
          <w:p>
            <w:r>
              <w:rPr>
                <w:rFonts w:ascii="Calibri" w:hAnsi="Calibri"/>
                <w:sz w:val="22"/>
              </w:rPr>
              <w:t>+3.0%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$4.38</w:t>
            </w:r>
          </w:p>
        </w:tc>
        <w:tc>
          <w:tcPr>
            <w:tcW w:type="dxa" w:w="1728"/>
          </w:tcPr>
          <w:p>
            <w:r>
              <w:rPr>
                <w:rFonts w:ascii="Calibri" w:hAnsi="Calibri"/>
                <w:sz w:val="22"/>
              </w:rPr>
              <w:t>$4.32</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$4.76</w:t>
            </w:r>
          </w:p>
        </w:tc>
        <w:tc>
          <w:tcPr>
            <w:tcW w:type="dxa" w:w="1728"/>
          </w:tcPr>
          <w:p>
            <w:r>
              <w:rPr>
                <w:rFonts w:ascii="Calibri" w:hAnsi="Calibri"/>
                <w:sz w:val="22"/>
              </w:rPr>
              <w:t>$4.23</w:t>
            </w:r>
          </w:p>
        </w:tc>
        <w:tc>
          <w:tcPr>
            <w:tcW w:type="dxa" w:w="1728"/>
          </w:tcPr>
          <w:p>
            <w:r>
              <w:rPr>
                <w:rFonts w:ascii="Calibri" w:hAnsi="Calibri"/>
                <w:sz w:val="22"/>
              </w:rPr>
              <w:t>+12.5%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$4.60</w:t>
            </w:r>
          </w:p>
        </w:tc>
        <w:tc>
          <w:tcPr>
            <w:tcW w:type="dxa" w:w="1728"/>
          </w:tcPr>
          <w:p>
            <w:r>
              <w:rPr>
                <w:rFonts w:ascii="Calibri" w:hAnsi="Calibri"/>
                <w:sz w:val="22"/>
              </w:rPr>
              <w:t>$4.40</w:t>
            </w:r>
          </w:p>
        </w:tc>
        <w:tc>
          <w:tcPr>
            <w:tcW w:type="dxa" w:w="1728"/>
          </w:tcPr>
          <w:p>
            <w:r>
              <w:rPr>
                <w:rFonts w:ascii="Calibri" w:hAnsi="Calibri"/>
                <w:sz w:val="22"/>
              </w:rPr>
              <w:t>+4.5%</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MA has beaten consensus on both net revenue and operating EPS in each of the last 8 consecutive quarters, with revenue beats averaging ~1.4% and EPS beats averaging ~4.4% — a consistent track record that sets a high bar for the market's reaction but also suggests the street has historically been too conservative. Source: Visible Alpha Consensus and Actuals Data.</w:t>
      </w:r>
    </w:p>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b/>
          <w:color w:val="525866"/>
          <w:sz w:val="22"/>
        </w:rPr>
        <w:t xml:space="preserve">Key Takeaway: </w:t>
      </w:r>
      <w:r>
        <w:rPr>
          <w:rFonts w:ascii="Calibri" w:hAnsi="Calibri"/>
          <w:color w:val="525866"/>
          <w:sz w:val="22"/>
        </w:rPr>
        <w:t xml:space="preserve">Consensus represents a </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guidance changes since the April 30 Q1 earnings call. Management tone at May and June conferences was consistently constructive — CFO Mehra confirmed trends were "stable to slightly better" through mid-May, and CEO Miebach reiterated healthy consumer spending at Bernstein on May 28. The full-year bar remains at the high end of low-double-digits CN, implying H2 acceleration that is more back-end loaded into Q4.</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Revenue Growth (CN, ex-inorganic)</w:t>
            </w:r>
          </w:p>
        </w:tc>
        <w:tc>
          <w:tcPr>
            <w:tcW w:type="dxa" w:w="1728"/>
          </w:tcPr>
          <w:p>
            <w:r>
              <w:rPr>
                <w:rFonts w:ascii="Calibri" w:hAnsi="Calibri"/>
                <w:sz w:val="22"/>
              </w:rPr>
              <w:t>Low end of low-double-digits; ~1-2 ppt FX tailwind</w:t>
            </w:r>
          </w:p>
        </w:tc>
        <w:tc>
          <w:tcPr>
            <w:tcW w:type="dxa" w:w="1728"/>
          </w:tcPr>
          <w:p>
            <w:r>
              <w:rPr>
                <w:rFonts w:ascii="Calibri" w:hAnsi="Calibri"/>
                <w:sz w:val="22"/>
              </w:rPr>
              <w:t>—</w:t>
            </w:r>
          </w:p>
        </w:tc>
        <w:tc>
          <w:tcPr>
            <w:tcW w:type="dxa" w:w="1728"/>
          </w:tcPr>
          <w:p>
            <w:r>
              <w:rPr>
                <w:rFonts w:ascii="Calibri" w:hAnsi="Calibri"/>
                <w:sz w:val="22"/>
              </w:rPr>
              <w:t>~10.5% CN (VA consensus)</w:t>
            </w:r>
          </w:p>
        </w:tc>
        <w:tc>
          <w:tcPr>
            <w:tcW w:type="dxa" w:w="1728"/>
          </w:tcPr>
          <w:p>
            <w:r>
              <w:rPr>
                <w:rFonts w:ascii="Calibri" w:hAnsi="Calibri"/>
                <w:sz w:val="22"/>
              </w:rPr>
              <w:t>Unchanged. Conflict impact most pronounced in Q2; without conflict, growth would have been in line with Q1 (12% CN). CFO confirmed mid-May trends stable to slightly better.</w:t>
            </w:r>
          </w:p>
        </w:tc>
      </w:tr>
      <w:tr>
        <w:tc>
          <w:tcPr>
            <w:tcW w:type="dxa" w:w="1728"/>
          </w:tcPr>
          <w:p>
            <w:r>
              <w:rPr>
                <w:rFonts w:ascii="Calibri" w:hAnsi="Calibri"/>
                <w:sz w:val="22"/>
              </w:rPr>
              <w:t>FY 2026 Net Revenue Growth (CN, ex-inorganic)</w:t>
            </w:r>
          </w:p>
        </w:tc>
        <w:tc>
          <w:tcPr>
            <w:tcW w:type="dxa" w:w="1728"/>
          </w:tcPr>
          <w:p>
            <w:r>
              <w:rPr>
                <w:rFonts w:ascii="Calibri" w:hAnsi="Calibri"/>
                <w:sz w:val="22"/>
              </w:rPr>
              <w:t>High end of low-double-digits; ~1.5 ppt FX tailwind</w:t>
            </w:r>
          </w:p>
        </w:tc>
        <w:tc>
          <w:tcPr>
            <w:tcW w:type="dxa" w:w="1728"/>
          </w:tcPr>
          <w:p>
            <w:r>
              <w:rPr>
                <w:rFonts w:ascii="Calibri" w:hAnsi="Calibri"/>
                <w:sz w:val="22"/>
              </w:rPr>
              <w:t>—</w:t>
            </w:r>
          </w:p>
        </w:tc>
        <w:tc>
          <w:tcPr>
            <w:tcW w:type="dxa" w:w="1728"/>
          </w:tcPr>
          <w:p>
            <w:r>
              <w:rPr>
                <w:rFonts w:ascii="Calibri" w:hAnsi="Calibri"/>
                <w:sz w:val="22"/>
              </w:rPr>
              <w:t>~11.9% CN (VA consensus)</w:t>
            </w:r>
          </w:p>
        </w:tc>
        <w:tc>
          <w:tcPr>
            <w:tcW w:type="dxa" w:w="1728"/>
          </w:tcPr>
          <w:p>
            <w:r>
              <w:rPr>
                <w:rFonts w:ascii="Calibri" w:hAnsi="Calibri"/>
                <w:sz w:val="22"/>
              </w:rPr>
              <w:t>Unchanged on CN basis. FX assumption improved slightly vs. prior guide. H2 acceleration more back-end loaded into Q4.</w:t>
            </w:r>
          </w:p>
        </w:tc>
      </w:tr>
      <w:tr>
        <w:tc>
          <w:tcPr>
            <w:tcW w:type="dxa" w:w="1728"/>
          </w:tcPr>
          <w:p>
            <w:r>
              <w:rPr>
                <w:rFonts w:ascii="Calibri" w:hAnsi="Calibri"/>
                <w:sz w:val="22"/>
              </w:rPr>
              <w:t>Q2 2026 Opex Growth (CN, ex-inorganic)</w:t>
            </w:r>
          </w:p>
        </w:tc>
        <w:tc>
          <w:tcPr>
            <w:tcW w:type="dxa" w:w="1728"/>
          </w:tcPr>
          <w:p>
            <w:r>
              <w:rPr>
                <w:rFonts w:ascii="Calibri" w:hAnsi="Calibri"/>
                <w:sz w:val="22"/>
              </w:rPr>
              <w:t>Low end of low-double-digits; 0-1 ppt benefit from disposition; 0-1 ppt FX headwind</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Unchanged. SessionM disposition expected to close within Q2.</w:t>
            </w:r>
          </w:p>
        </w:tc>
      </w:tr>
      <w:tr>
        <w:tc>
          <w:tcPr>
            <w:tcW w:type="dxa" w:w="1728"/>
          </w:tcPr>
          <w:p>
            <w:r>
              <w:rPr>
                <w:rFonts w:ascii="Calibri" w:hAnsi="Calibri"/>
                <w:sz w:val="22"/>
              </w:rPr>
              <w:t>FY 2026 Opex Growth (CN, ex-inorganic)</w:t>
            </w:r>
          </w:p>
        </w:tc>
        <w:tc>
          <w:tcPr>
            <w:tcW w:type="dxa" w:w="1728"/>
          </w:tcPr>
          <w:p>
            <w:r>
              <w:rPr>
                <w:rFonts w:ascii="Calibri" w:hAnsi="Calibri"/>
                <w:sz w:val="22"/>
              </w:rPr>
              <w:t>Low-double-digit range; 0.5-1 ppt tailwind from disposition; 0.5-1 ppt FX headwind</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Unchanged.</w:t>
            </w:r>
          </w:p>
        </w:tc>
      </w:tr>
      <w:tr>
        <w:tc>
          <w:tcPr>
            <w:tcW w:type="dxa" w:w="1728"/>
          </w:tcPr>
          <w:p>
            <w:r>
              <w:rPr>
                <w:rFonts w:ascii="Calibri" w:hAnsi="Calibri"/>
                <w:sz w:val="22"/>
              </w:rPr>
              <w:t>Q2 &amp; FY 2026 Non-GAAP Tax Rate</w:t>
            </w:r>
          </w:p>
        </w:tc>
        <w:tc>
          <w:tcPr>
            <w:tcW w:type="dxa" w:w="1728"/>
          </w:tcPr>
          <w:p>
            <w:r>
              <w:rPr>
                <w:rFonts w:ascii="Calibri" w:hAnsi="Calibri"/>
                <w:sz w:val="22"/>
              </w:rPr>
              <w:t>20%-21%</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Unchanged. Q1 was lower due to discrete tax benefits (share-based payments) not expected to repeat.</w:t>
            </w:r>
          </w:p>
        </w:tc>
      </w:tr>
      <w:tr>
        <w:tc>
          <w:tcPr>
            <w:tcW w:type="dxa" w:w="1728"/>
          </w:tcPr>
          <w:p>
            <w:r>
              <w:rPr>
                <w:rFonts w:ascii="Calibri" w:hAnsi="Calibri"/>
                <w:sz w:val="22"/>
              </w:rPr>
              <w:t>Q2 Other Income/Expense</w:t>
            </w:r>
          </w:p>
        </w:tc>
        <w:tc>
          <w:tcPr>
            <w:tcW w:type="dxa" w:w="1728"/>
          </w:tcPr>
          <w:p>
            <w:r>
              <w:rPr>
                <w:rFonts w:ascii="Calibri" w:hAnsi="Calibri"/>
                <w:sz w:val="22"/>
              </w:rPr>
              <w:t>~$150M expense (ex-equity investment gains/losses)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Higher sequentially vs. Q1 due to lower cash balances, higher debt (accelerated buybacks), and one-time disposition impact.</w:t>
            </w:r>
          </w:p>
        </w:tc>
      </w:tr>
      <w:tr>
        <w:tc>
          <w:tcPr>
            <w:tcW w:type="dxa" w:w="1728"/>
          </w:tcPr>
          <w:p>
            <w:r>
              <w:rPr>
                <w:rFonts w:ascii="Calibri" w:hAnsi="Calibri"/>
                <w:sz w:val="22"/>
              </w:rPr>
              <w:t>Rebates &amp; Incentives (Q2 vs. Q1)</w:t>
            </w:r>
          </w:p>
        </w:tc>
        <w:tc>
          <w:tcPr>
            <w:tcW w:type="dxa" w:w="1728"/>
          </w:tcPr>
          <w:p>
            <w:r>
              <w:rPr>
                <w:rFonts w:ascii="Calibri" w:hAnsi="Calibri"/>
                <w:sz w:val="22"/>
              </w:rPr>
              <w:t>Slightly lower sequentially as % of payment network assessments</w:t>
            </w:r>
          </w:p>
        </w:tc>
        <w:tc>
          <w:tcPr>
            <w:tcW w:type="dxa" w:w="1728"/>
          </w:tcPr>
          <w:p>
            <w:r>
              <w:rPr>
                <w:rFonts w:ascii="Calibri" w:hAnsi="Calibri"/>
                <w:sz w:val="22"/>
              </w:rPr>
              <w:t>—</w:t>
            </w:r>
          </w:p>
        </w:tc>
        <w:tc>
          <w:tcPr>
            <w:tcW w:type="dxa" w:w="1728"/>
          </w:tcPr>
          <w:p>
            <w:r>
              <w:rPr>
                <w:rFonts w:ascii="Calibri" w:hAnsi="Calibri"/>
                <w:sz w:val="22"/>
              </w:rPr>
              <w:t>Consensus: -$5.75B</w:t>
            </w:r>
          </w:p>
        </w:tc>
        <w:tc>
          <w:tcPr>
            <w:tcW w:type="dxa" w:w="1728"/>
          </w:tcPr>
          <w:p>
            <w:r>
              <w:rPr>
                <w:rFonts w:ascii="Calibri" w:hAnsi="Calibri"/>
                <w:sz w:val="22"/>
              </w:rPr>
              <w:t>Unchanged. Slight sequential improvement expected.</w:t>
            </w:r>
          </w:p>
        </w:tc>
      </w:tr>
    </w:tbl>
    <w:p>
      <w:r>
        <w:rPr>
          <w:rFonts w:ascii="Calibri" w:hAnsi="Calibri"/>
          <w:b/>
          <w:color w:val="525866"/>
          <w:sz w:val="22"/>
        </w:rPr>
        <w:t xml:space="preserve">Key Takeaway: </w:t>
      </w:r>
      <w:r>
        <w:rPr>
          <w:rFonts w:ascii="Calibri" w:hAnsi="Calibri"/>
          <w:color w:val="525866"/>
          <w:sz w:val="22"/>
        </w:rPr>
        <w:t xml:space="preserve">Guidance has been unchanged since the Q1 print — management held the full-year bar at the high end of low-double-digits CN and set Q2 at the low end, with no post-earnings revisions; tone at subsequent conferences has been </w:t>
      </w:r>
    </w:p>
    <w:p>
      <w:r>
        <w:rPr>
          <w:rFonts w:ascii="Calibri" w:hAnsi="Calibri"/>
          <w:b/>
          <w:color w:val="525866"/>
          <w:sz w:val="22"/>
        </w:rPr>
        <w:t xml:space="preserve">Key Takeaway: </w:t>
      </w:r>
      <w:r>
        <w:rPr>
          <w:rFonts w:ascii="Calibri" w:hAnsi="Calibri"/>
          <w:color w:val="525866"/>
          <w:sz w:val="22"/>
        </w:rPr>
        <w:t xml:space="preserve">No guidance changes since the April 30 Q1 earnings call; management tone at May and June conferences was </w:t>
      </w:r>
    </w:p>
    <w:p>
      <w:r>
        <w:rPr>
          <w:rFonts w:ascii="Calibri" w:hAnsi="Calibri"/>
          <w:b/>
          <w:color w:val="525866"/>
          <w:sz w:val="22"/>
        </w:rPr>
        <w:t xml:space="preserve">Key Takeaway: </w:t>
      </w:r>
      <w:r>
        <w:rPr>
          <w:rFonts w:ascii="Calibri" w:hAnsi="Calibri"/>
          <w:color w:val="525866"/>
          <w:sz w:val="22"/>
        </w:rPr>
        <w:t xml:space="preserve">Guidance is unchanged since the Q1 print. Management tone at May/June conferences was </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the Q1 print — Q2 2026 net revenue consensus moved only ~$0.05B higher (+0.5%) and EPS moved ~$0.01 higher since the post-Q1 baseline, suggesting the street has largely accepted management's guidance without material upward or downward revision. The gap between consensus and the high end of guidance represents upside optionality if cross-border travel recovers faster than feared.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Delta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Delta</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 Q2 2026</w:t>
            </w:r>
          </w:p>
        </w:tc>
        <w:tc>
          <w:tcPr>
            <w:tcW w:type="dxa" w:w="1080"/>
          </w:tcPr>
          <w:p>
            <w:r>
              <w:rPr>
                <w:rFonts w:ascii="Calibri" w:hAnsi="Calibri"/>
                <w:sz w:val="22"/>
              </w:rPr>
              <w:t>$9.07B</w:t>
            </w:r>
          </w:p>
        </w:tc>
        <w:tc>
          <w:tcPr>
            <w:tcW w:type="dxa" w:w="1080"/>
          </w:tcPr>
          <w:p>
            <w:r>
              <w:rPr>
                <w:rFonts w:ascii="Calibri" w:hAnsi="Calibri"/>
                <w:sz w:val="22"/>
              </w:rPr>
              <w:t>$9.08B</w:t>
            </w:r>
          </w:p>
        </w:tc>
        <w:tc>
          <w:tcPr>
            <w:tcW w:type="dxa" w:w="1080"/>
          </w:tcPr>
          <w:p>
            <w:r>
              <w:rPr>
                <w:rFonts w:ascii="Calibri" w:hAnsi="Calibri"/>
                <w:sz w:val="22"/>
              </w:rPr>
              <w:t>+0.1%</w:t>
            </w:r>
          </w:p>
        </w:tc>
        <w:tc>
          <w:tcPr>
            <w:tcW w:type="dxa" w:w="1080"/>
          </w:tcPr>
          <w:p>
            <w:r>
              <w:rPr>
                <w:rFonts w:ascii="Calibri" w:hAnsi="Calibri"/>
                <w:sz w:val="22"/>
              </w:rPr>
              <w:t>Low end of low-double-digits CN + ~1-2 ppt FX</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range</w:t>
            </w:r>
          </w:p>
        </w:tc>
      </w:tr>
      <w:tr>
        <w:tc>
          <w:tcPr>
            <w:tcW w:type="dxa" w:w="1080"/>
          </w:tcPr>
          <w:p>
            <w:r>
              <w:rPr>
                <w:rFonts w:ascii="Calibri" w:hAnsi="Calibri"/>
                <w:sz w:val="22"/>
              </w:rPr>
              <w:t>Net Revenue — FY 2026</w:t>
            </w:r>
          </w:p>
        </w:tc>
        <w:tc>
          <w:tcPr>
            <w:tcW w:type="dxa" w:w="1080"/>
          </w:tcPr>
          <w:p>
            <w:r>
              <w:rPr>
                <w:rFonts w:ascii="Calibri" w:hAnsi="Calibri"/>
                <w:sz w:val="22"/>
              </w:rPr>
              <w:t>$37.12B</w:t>
            </w:r>
          </w:p>
        </w:tc>
        <w:tc>
          <w:tcPr>
            <w:tcW w:type="dxa" w:w="1080"/>
          </w:tcPr>
          <w:p>
            <w:r>
              <w:rPr>
                <w:rFonts w:ascii="Calibri" w:hAnsi="Calibri"/>
                <w:sz w:val="22"/>
              </w:rPr>
              <w:t>$37.13B</w:t>
            </w:r>
          </w:p>
        </w:tc>
        <w:tc>
          <w:tcPr>
            <w:tcW w:type="dxa" w:w="1080"/>
          </w:tcPr>
          <w:p>
            <w:r>
              <w:rPr>
                <w:rFonts w:ascii="Calibri" w:hAnsi="Calibri"/>
                <w:sz w:val="22"/>
              </w:rPr>
              <w:t>+0.0%</w:t>
            </w:r>
          </w:p>
        </w:tc>
        <w:tc>
          <w:tcPr>
            <w:tcW w:type="dxa" w:w="1080"/>
          </w:tcPr>
          <w:p>
            <w:r>
              <w:rPr>
                <w:rFonts w:ascii="Calibri" w:hAnsi="Calibri"/>
                <w:sz w:val="22"/>
              </w:rPr>
              <w:t>High end of low-double-digits CN + ~1.5 ppt FX</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high end</w:t>
            </w:r>
          </w:p>
        </w:tc>
      </w:tr>
      <w:tr>
        <w:tc>
          <w:tcPr>
            <w:tcW w:type="dxa" w:w="1080"/>
          </w:tcPr>
          <w:p>
            <w:r>
              <w:rPr>
                <w:rFonts w:ascii="Calibri" w:hAnsi="Calibri"/>
                <w:sz w:val="22"/>
              </w:rPr>
              <w:t>EPS (Diluted Operating) — Q2 2026</w:t>
            </w:r>
          </w:p>
        </w:tc>
        <w:tc>
          <w:tcPr>
            <w:tcW w:type="dxa" w:w="1080"/>
          </w:tcPr>
          <w:p>
            <w:r>
              <w:rPr>
                <w:rFonts w:ascii="Calibri" w:hAnsi="Calibri"/>
                <w:sz w:val="22"/>
              </w:rPr>
              <w:t>$4.76</w:t>
            </w:r>
          </w:p>
        </w:tc>
        <w:tc>
          <w:tcPr>
            <w:tcW w:type="dxa" w:w="1080"/>
          </w:tcPr>
          <w:p>
            <w:r>
              <w:rPr>
                <w:rFonts w:ascii="Calibri" w:hAnsi="Calibri"/>
                <w:sz w:val="22"/>
              </w:rPr>
              <w:t>$4.77</w:t>
            </w:r>
          </w:p>
        </w:tc>
        <w:tc>
          <w:tcPr>
            <w:tcW w:type="dxa" w:w="1080"/>
          </w:tcPr>
          <w:p>
            <w:r>
              <w:rPr>
                <w:rFonts w:ascii="Calibri" w:hAnsi="Calibri"/>
                <w:sz w:val="22"/>
              </w:rPr>
              <w:t>+0.2%</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Operating) — FY 2026</w:t>
            </w:r>
          </w:p>
        </w:tc>
        <w:tc>
          <w:tcPr>
            <w:tcW w:type="dxa" w:w="1080"/>
          </w:tcPr>
          <w:p>
            <w:r>
              <w:rPr>
                <w:rFonts w:ascii="Calibri" w:hAnsi="Calibri"/>
                <w:sz w:val="22"/>
              </w:rPr>
              <w:t>$19.69</w:t>
            </w:r>
          </w:p>
        </w:tc>
        <w:tc>
          <w:tcPr>
            <w:tcW w:type="dxa" w:w="1080"/>
          </w:tcPr>
          <w:p>
            <w:r>
              <w:rPr>
                <w:rFonts w:ascii="Calibri" w:hAnsi="Calibri"/>
                <w:sz w:val="22"/>
              </w:rPr>
              <w:t>$19.69</w:t>
            </w:r>
          </w:p>
        </w:tc>
        <w:tc>
          <w:tcPr>
            <w:tcW w:type="dxa" w:w="1080"/>
          </w:tcPr>
          <w:p>
            <w:r>
              <w:rPr>
                <w:rFonts w:ascii="Calibri" w:hAnsi="Calibri"/>
                <w:sz w:val="22"/>
              </w:rPr>
              <w:t>0.0%</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Cross-Border Volume Growth (CN %) — Q2 2026</w:t>
            </w:r>
          </w:p>
        </w:tc>
        <w:tc>
          <w:tcPr>
            <w:tcW w:type="dxa" w:w="1080"/>
          </w:tcPr>
          <w:p>
            <w:r>
              <w:rPr>
                <w:rFonts w:ascii="Calibri" w:hAnsi="Calibri"/>
                <w:sz w:val="22"/>
              </w:rPr>
              <w:t>~10.4%</w:t>
            </w:r>
          </w:p>
        </w:tc>
        <w:tc>
          <w:tcPr>
            <w:tcW w:type="dxa" w:w="1080"/>
          </w:tcPr>
          <w:p>
            <w:r>
              <w:rPr>
                <w:rFonts w:ascii="Calibri" w:hAnsi="Calibri"/>
                <w:sz w:val="22"/>
              </w:rPr>
              <w:t>~10.9%</w:t>
            </w:r>
          </w:p>
        </w:tc>
        <w:tc>
          <w:tcPr>
            <w:tcW w:type="dxa" w:w="1080"/>
          </w:tcPr>
          <w:p>
            <w:r>
              <w:rPr>
                <w:rFonts w:ascii="Calibri" w:hAnsi="Calibri"/>
                <w:sz w:val="22"/>
              </w:rPr>
              <w:t>+0.5 ppt</w:t>
            </w:r>
          </w:p>
        </w:tc>
        <w:tc>
          <w:tcPr>
            <w:tcW w:type="dxa" w:w="1080"/>
          </w:tcPr>
          <w:p>
            <w:r>
              <w:rPr>
                <w:rFonts w:ascii="Calibri" w:hAnsi="Calibri"/>
                <w:sz w:val="22"/>
              </w:rPr>
              <w:t>Implied deceleration from conflict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 upward drift; Visa/Amex data supportive</w:t>
            </w:r>
          </w:p>
        </w:tc>
      </w:tr>
      <w:tr>
        <w:tc>
          <w:tcPr>
            <w:tcW w:type="dxa" w:w="1080"/>
          </w:tcPr>
          <w:p>
            <w:r>
              <w:rPr>
                <w:rFonts w:ascii="Calibri" w:hAnsi="Calibri"/>
                <w:sz w:val="22"/>
              </w:rPr>
              <w:t>VASS Net Revenue — Q2 2026</w:t>
            </w:r>
          </w:p>
        </w:tc>
        <w:tc>
          <w:tcPr>
            <w:tcW w:type="dxa" w:w="1080"/>
          </w:tcPr>
          <w:p>
            <w:r>
              <w:rPr>
                <w:rFonts w:ascii="Calibri" w:hAnsi="Calibri"/>
                <w:sz w:val="22"/>
              </w:rPr>
              <w:t>$3.62B</w:t>
            </w:r>
          </w:p>
        </w:tc>
        <w:tc>
          <w:tcPr>
            <w:tcW w:type="dxa" w:w="1080"/>
          </w:tcPr>
          <w:p>
            <w:r>
              <w:rPr>
                <w:rFonts w:ascii="Calibri" w:hAnsi="Calibri"/>
                <w:sz w:val="22"/>
              </w:rPr>
              <w:t>$3.74B</w:t>
            </w:r>
          </w:p>
        </w:tc>
        <w:tc>
          <w:tcPr>
            <w:tcW w:type="dxa" w:w="1080"/>
          </w:tcPr>
          <w:p>
            <w:r>
              <w:rPr>
                <w:rFonts w:ascii="Calibri" w:hAnsi="Calibri"/>
                <w:sz w:val="22"/>
              </w:rPr>
              <w:t>+3.3%</w:t>
            </w:r>
          </w:p>
        </w:tc>
        <w:tc>
          <w:tcPr>
            <w:tcW w:type="dxa" w:w="1080"/>
          </w:tcPr>
          <w:p>
            <w:r>
              <w:rPr>
                <w:rFonts w:ascii="Calibri" w:hAnsi="Calibri"/>
                <w:sz w:val="22"/>
              </w:rPr>
              <w:t>No explicit guidance; organic ~18% in Q1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Upward revision; VASS demand remains strong</w:t>
            </w:r>
          </w:p>
        </w:tc>
      </w:tr>
    </w:tbl>
    <w:p>
      <w:r>
        <w:rPr>
          <w:rFonts w:ascii="Calibri" w:hAnsi="Calibri"/>
          <w:i/>
          <w:color w:val="525866"/>
          <w:sz w:val="22"/>
        </w:rPr>
        <w:t>Source: Visible Alpha Consensus and Actuals Data. Post-Q1 baseline as of May 5, 2026 (5 trading days after April 30 earnings). Current consensus as of July 29, 2026.</w:t>
      </w:r>
    </w:p>
    <w:p>
      <w:r>
        <w:rPr>
          <w:rFonts w:ascii="Calibri" w:hAnsi="Calibri"/>
          <w:color w:val="525866"/>
          <w:sz w:val="22"/>
        </w:rPr>
        <w:t>Estimates have barely moved since the Q1 print, reflecting the market's acceptance of management's guidance framework. The modest upward drift in VASS consensus (+3.3%) is the most notable revision, consistent with management's repeated emphasis on durable VASS demand and the virtuous cycle. Cross-border volume estimates have also ticked up slightly, likely reflecting Visa's strong Q3 cross-border data and Amex's travel commentary.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MA has outperformed meaningfully since the Q1 print (+12% vs. +2% for SPY), driven by the market re-rating the Middle East conflict headwind as transient and by strong peer data from Visa and Amex; the re-rating appears multiple-driven rather than estimate-driven, as consensus has barely moved, which means the stock needs a clean beat to sustain momentum at current levels.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MA vs. V (Peer) vs. XLF (Financials ETF) vs. S&amp;P 500 (SPY) — Indexed to 100 at Q1 2026 Earnings (April 30, 2026). Source: Stock Price Data.</w:t>
      </w:r>
    </w:p>
    <w:p>
      <w:r>
        <w:rPr>
          <w:rFonts w:ascii="Calibri" w:hAnsi="Calibri"/>
          <w:color w:val="525866"/>
          <w:sz w:val="22"/>
        </w:rPr>
        <w:t>Since the Q1 2026 earnings print on April 30, MA has recovered strongly from its initial ~3% selloff (driven by April cross-border travel deceleration data disclosed on the call). The stock is up ~12% since earnings vs. ~2% for the S&amp;P 500 and ~9% for XLF, with Visa (V) tracking closely at ~12% — suggesting the outperformance is sector-driven by payments network re-rating rather than MA-specific alpha. Key events during the period: the May 7 leadership 8-K (CFO succession announcement) was absorbed without disruption; the May 19 JP Morgan conference provided the first post-earnings consumer spending update ("stable to slightly better") which helped stabilize the stock; the June 3 Evercore and June 9 RBC conferences reinforced the VASS and agentic commerce growth narrative. The stock's outperformance vs. SPY is almost entirely multiple expansion, as FY2026 EPS estimates have been flat at ~$19.69 since the Q1 print. At current levels (~$563), MA trades at approximately 29x FY2026 consensus EPS — a premium to historical averages but consistent with the VASS growth re-rating. The stock's strong run into earnings means the market needs a beat on cross-border volume and/or VASS to sustain the multiple.</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Q2 2026 earnings (Visa, Amex, Capital One, JPMorgan, BofA, Wells Fargo) is uniformly constructive for MA — </w:t>
      </w:r>
    </w:p>
    <w:p>
      <w:r>
        <w:rPr>
          <w:rFonts w:ascii="Calibri" w:hAnsi="Calibri"/>
          <w:b/>
          <w:color w:val="525866"/>
          <w:sz w:val="22"/>
        </w:rPr>
        <w:t xml:space="preserve">Key Takeaway: </w:t>
      </w:r>
      <w:r>
        <w:rPr>
          <w:rFonts w:ascii="Calibri" w:hAnsi="Calibri"/>
          <w:color w:val="525866"/>
          <w:sz w:val="22"/>
        </w:rPr>
        <w:t>Peer Q2 2026 earnings commentary is uniformly constructive for MA: consumer spending is accelerating (not decelerating), cross-border volumes are recovering with travel up 10-12% at Visa and bookings up 22% at Amex, and credit quality remains pristine across the board — all pointing to a Q2 beat on both net revenue and cross-border volume.</w:t>
      </w:r>
    </w:p>
    <w:p>
      <w:pPr>
        <w:pStyle w:val="Heading3"/>
      </w:pPr>
      <w:r>
        <w:rPr>
          <w:rFonts w:ascii="Calibri" w:hAnsi="Calibri"/>
          <w:b/>
          <w:color w:val="3B4259"/>
          <w:sz w:val="24"/>
        </w:rPr>
        <w:t>Visa (V) — Fiscal Q3 2026 Earnings (July 28, 2026)</w:t>
      </w:r>
    </w:p>
    <w:p>
      <w:r>
        <w:rPr>
          <w:rFonts w:ascii="Calibri" w:hAnsi="Calibri"/>
          <w:color w:val="525866"/>
          <w:sz w:val="22"/>
        </w:rPr>
        <w:t>Most relevant peer. Visa's fiscal Q3 (calendar Q2 2026) is the highest-quality read-through for MA's Q2 2026 print.</w:t>
      </w:r>
    </w:p>
    <w:p>
      <w:pPr>
        <w:pStyle w:val="ListBullet"/>
        <w:ind w:left="360" w:hanging="360"/>
      </w:pPr>
      <w:r>
        <w:rPr>
          <w:rFonts w:ascii="Calibri" w:hAnsi="Calibri"/>
          <w:b/>
          <w:color w:val="525866"/>
          <w:sz w:val="22"/>
        </w:rPr>
        <w:t xml:space="preserve">Payment volume crossed $4 trillion for the first time in Visa history, up 10% YoY in constant dollars — </w:t>
      </w:r>
      <w:r>
        <w:rPr>
          <w:rFonts w:ascii="Calibri" w:hAnsi="Calibri"/>
          <w:color w:val="525866"/>
          <w:sz w:val="22"/>
        </w:rPr>
        <w:t>a growth rate not seen since fiscal 2019. U.S. payment volume grew 10% YoY, up ~2 points from Q2. Directly positive for MA switched transaction volumes.</w:t>
      </w:r>
    </w:p>
    <w:p>
      <w:pPr>
        <w:pStyle w:val="ListBullet"/>
        <w:ind w:left="360" w:hanging="360"/>
      </w:pPr>
      <w:r>
        <w:rPr>
          <w:rFonts w:ascii="Calibri" w:hAnsi="Calibri"/>
          <w:b/>
          <w:color w:val="525866"/>
          <w:sz w:val="22"/>
        </w:rPr>
        <w:t xml:space="preserve">Cross-border volume (ex-Intra-Europe) up 12% YoY, up more than 1 point from Q2 — </w:t>
      </w:r>
      <w:r>
        <w:rPr>
          <w:rFonts w:ascii="Calibri" w:hAnsi="Calibri"/>
          <w:color w:val="525866"/>
          <w:sz w:val="22"/>
        </w:rPr>
        <w:t>travel-related cross-border up 10% (consistent with Q2), e-commerce cross-border up 16% (3 points above Q2). FIFA World Cup boosted June inbound North America/Latin America volume. As of July 21, cross-border ex-Intra-Europe was up 14% with travel up 12% and e-commerce up 18%. This is a strong positive read-through for MA's Q2 cross-border volume, which consensus has at ~10.9% CN.</w:t>
      </w:r>
    </w:p>
    <w:p>
      <w:pPr>
        <w:pStyle w:val="ListBullet"/>
        <w:ind w:left="360" w:hanging="360"/>
      </w:pPr>
      <w:r>
        <w:rPr>
          <w:rFonts w:ascii="Calibri" w:hAnsi="Calibri"/>
          <w:b/>
          <w:color w:val="525866"/>
          <w:sz w:val="22"/>
        </w:rPr>
        <w:t xml:space="preserve">Consumer spending described as "strong and resilient" and "broad based" — </w:t>
      </w:r>
      <w:r>
        <w:rPr>
          <w:rFonts w:ascii="Calibri" w:hAnsi="Calibri"/>
          <w:color w:val="525866"/>
          <w:sz w:val="22"/>
        </w:rPr>
        <w:t>no signs of lower-spend consumer weakening. Both discretionary and non-discretionary spend remain strong. Incremental improvement from Q2 across spend bands.</w:t>
      </w:r>
    </w:p>
    <w:p>
      <w:pPr>
        <w:pStyle w:val="ListBullet"/>
        <w:ind w:left="360" w:hanging="360"/>
      </w:pPr>
      <w:r>
        <w:rPr>
          <w:rFonts w:ascii="Calibri" w:hAnsi="Calibri"/>
          <w:b/>
          <w:color w:val="525866"/>
          <w:sz w:val="22"/>
        </w:rPr>
        <w:t xml:space="preserve">Q4 FY2026 guidance: net revenue growth at high end of low-double-digits, similar to Q3 — </w:t>
      </w:r>
      <w:r>
        <w:rPr>
          <w:rFonts w:ascii="Calibri" w:hAnsi="Calibri"/>
          <w:color w:val="525866"/>
          <w:sz w:val="22"/>
        </w:rPr>
        <w:t>consistent with MA's full-year guidance framework. Visa expects a "strong Q4" and is "well positioned for FY27."</w:t>
      </w:r>
    </w:p>
    <w:p>
      <w:pPr>
        <w:pStyle w:val="ListBullet"/>
        <w:ind w:left="360" w:hanging="360"/>
      </w:pPr>
      <w:r>
        <w:rPr>
          <w:rFonts w:ascii="Calibri" w:hAnsi="Calibri"/>
          <w:b/>
          <w:color w:val="525866"/>
          <w:sz w:val="22"/>
        </w:rPr>
        <w:t xml:space="preserve">Processed transactions grew 10% YoY to $72B; Visa Direct transactions up 21% YoY to 3.45B — </w:t>
      </w:r>
      <w:r>
        <w:rPr>
          <w:rFonts w:ascii="Calibri" w:hAnsi="Calibri"/>
          <w:color w:val="525866"/>
          <w:sz w:val="22"/>
        </w:rPr>
        <w:t>strong transaction volume growth is a direct positive for MA's switched transaction consensus of 47.7B.</w:t>
      </w:r>
    </w:p>
    <w:p>
      <w:pPr>
        <w:pStyle w:val="Heading3"/>
      </w:pPr>
      <w:r>
        <w:rPr>
          <w:rFonts w:ascii="Calibri" w:hAnsi="Calibri"/>
          <w:b/>
          <w:color w:val="3B4259"/>
          <w:sz w:val="24"/>
        </w:rPr>
        <w:t>American Express (AXP) — Q2 2026 Earnings (July 24, 2026)</w:t>
      </w:r>
    </w:p>
    <w:p>
      <w:r>
        <w:rPr>
          <w:rFonts w:ascii="Calibri" w:hAnsi="Calibri"/>
          <w:color w:val="525866"/>
          <w:sz w:val="22"/>
        </w:rPr>
        <w:t>Strong affluent consumer read-through. AXP's premium cardholder base is directionally relevant for MA's cross-border travel and high-spend volume trends.</w:t>
      </w:r>
    </w:p>
    <w:p>
      <w:pPr>
        <w:pStyle w:val="ListBullet"/>
        <w:ind w:left="360" w:hanging="360"/>
      </w:pPr>
      <w:r>
        <w:rPr>
          <w:rFonts w:ascii="Calibri" w:hAnsi="Calibri"/>
          <w:b/>
          <w:color w:val="525866"/>
          <w:sz w:val="22"/>
        </w:rPr>
        <w:t xml:space="preserve">Overall spend up 9.4% FX-adjusted in Q2, the highest level in three years — </w:t>
      </w:r>
      <w:r>
        <w:rPr>
          <w:rFonts w:ascii="Calibri" w:hAnsi="Calibri"/>
          <w:color w:val="525866"/>
          <w:sz w:val="22"/>
        </w:rPr>
        <w:t>almost 1 point higher than Q1. U.S. consumer spending up 11%, the highest since Q1 2018 (ex-pandemic). Retail spending up 13% FX-adjusted. Broad-based acceleration is a strong positive for MA's domestic and cross-border volume.</w:t>
      </w:r>
    </w:p>
    <w:p>
      <w:pPr>
        <w:pStyle w:val="ListBullet"/>
        <w:ind w:left="360" w:hanging="360"/>
      </w:pPr>
      <w:r>
        <w:rPr>
          <w:rFonts w:ascii="Calibri" w:hAnsi="Calibri"/>
          <w:b/>
          <w:color w:val="525866"/>
          <w:sz w:val="22"/>
        </w:rPr>
        <w:t xml:space="preserve">Travel &amp; Entertainment (T&amp;E) spending up 10%; global travel bookings up 22% YoY — </w:t>
      </w:r>
      <w:r>
        <w:rPr>
          <w:rFonts w:ascii="Calibri" w:hAnsi="Calibri"/>
          <w:color w:val="525866"/>
          <w:sz w:val="22"/>
        </w:rPr>
        <w:t>airline spending up 10%, the highest in six quarters. This directly supports MA's cross-border travel volume recovery thesis and suggests the Middle East conflict impact may be less severe than feared.</w:t>
      </w:r>
    </w:p>
    <w:p>
      <w:pPr>
        <w:pStyle w:val="ListBullet"/>
        <w:ind w:left="360" w:hanging="360"/>
      </w:pPr>
      <w:r>
        <w:rPr>
          <w:rFonts w:ascii="Calibri" w:hAnsi="Calibri"/>
          <w:b/>
          <w:color w:val="525866"/>
          <w:sz w:val="22"/>
        </w:rPr>
        <w:t xml:space="preserve">International spend up 12% FX-adjusted; four of top five countries growing at double-digit rates — </w:t>
      </w:r>
      <w:r>
        <w:rPr>
          <w:rFonts w:ascii="Calibri" w:hAnsi="Calibri"/>
          <w:color w:val="525866"/>
          <w:sz w:val="22"/>
        </w:rPr>
        <w:t>broad international strength is a positive read-through for MA's cross-border volume.</w:t>
      </w:r>
    </w:p>
    <w:p>
      <w:pPr>
        <w:pStyle w:val="ListBullet"/>
        <w:ind w:left="360" w:hanging="360"/>
      </w:pPr>
      <w:r>
        <w:rPr>
          <w:rFonts w:ascii="Calibri" w:hAnsi="Calibri"/>
          <w:b/>
          <w:color w:val="525866"/>
          <w:sz w:val="22"/>
        </w:rPr>
        <w:t xml:space="preserve">AXP raised full-year revenue growth guidance to 10% (from prior range) — </w:t>
      </w:r>
      <w:r>
        <w:rPr>
          <w:rFonts w:ascii="Calibri" w:hAnsi="Calibri"/>
          <w:color w:val="525866"/>
          <w:sz w:val="22"/>
        </w:rPr>
        <w:t>a guidance raise from a major payments peer heading into MA's print is a constructive signal. Credit performance remains very strong with delinquency and write-off rates below 2019 levels.</w:t>
      </w:r>
    </w:p>
    <w:p>
      <w:pPr>
        <w:pStyle w:val="ListBullet"/>
        <w:ind w:left="360" w:hanging="360"/>
      </w:pPr>
      <w:r>
        <w:rPr>
          <w:rFonts w:ascii="Calibri" w:hAnsi="Calibri"/>
          <w:b/>
          <w:color w:val="525866"/>
          <w:sz w:val="22"/>
        </w:rPr>
        <w:t xml:space="preserve">No evidence of a general slowdown despite geopolitical impacts — </w:t>
      </w:r>
      <w:r>
        <w:rPr>
          <w:rFonts w:ascii="Calibri" w:hAnsi="Calibri"/>
          <w:color w:val="525866"/>
          <w:sz w:val="22"/>
        </w:rPr>
        <w:t>management noted some Middle East travel impact but characterized it as offset by other categories, with "no evidence of a general slowdown." Directly addresses MA's key Q2 risk.</w:t>
      </w:r>
    </w:p>
    <w:p>
      <w:pPr>
        <w:pStyle w:val="Heading3"/>
      </w:pPr>
      <w:r>
        <w:rPr>
          <w:rFonts w:ascii="Calibri" w:hAnsi="Calibri"/>
          <w:b/>
          <w:color w:val="3B4259"/>
          <w:sz w:val="24"/>
        </w:rPr>
        <w:t>Capital One (COF) — Q2 2026 Earnings (July 21, 2026)</w:t>
      </w:r>
    </w:p>
    <w:p>
      <w:r>
        <w:rPr>
          <w:rFonts w:ascii="Calibri" w:hAnsi="Calibri"/>
          <w:color w:val="525866"/>
          <w:sz w:val="22"/>
        </w:rPr>
        <w:t>Key MA partner/customer. COF's Discover debit migration to its own network is now complete, but COF's consumer spending and credit data remain relevant for MA's domestic volume.</w:t>
      </w:r>
    </w:p>
    <w:p>
      <w:pPr>
        <w:pStyle w:val="ListBullet"/>
        <w:ind w:left="360" w:hanging="360"/>
      </w:pPr>
      <w:r>
        <w:rPr>
          <w:rFonts w:ascii="Calibri" w:hAnsi="Calibri"/>
          <w:b/>
          <w:color w:val="525866"/>
          <w:sz w:val="22"/>
        </w:rPr>
        <w:t xml:space="preserve">Consumer spending "remains strong"; U.S. consumer and economy "remained resilient despite high energy prices" — </w:t>
      </w:r>
      <w:r>
        <w:rPr>
          <w:rFonts w:ascii="Calibri" w:hAnsi="Calibri"/>
          <w:color w:val="525866"/>
          <w:sz w:val="22"/>
        </w:rPr>
        <w:t>unemployment in June was lower than in February (pre-Iran conflict). Bank balances and debt servicing burdens look stronger than a year ago across all income levels.</w:t>
      </w:r>
    </w:p>
    <w:p>
      <w:pPr>
        <w:pStyle w:val="ListBullet"/>
        <w:ind w:left="360" w:hanging="360"/>
      </w:pPr>
      <w:r>
        <w:rPr>
          <w:rFonts w:ascii="Calibri" w:hAnsi="Calibri"/>
          <w:b/>
          <w:color w:val="525866"/>
          <w:sz w:val="22"/>
        </w:rPr>
        <w:t xml:space="preserve">Legacy Capital One purchase volume grew ~14% YoY (inclusive of Brex/Corporate Card) — </w:t>
      </w:r>
      <w:r>
        <w:rPr>
          <w:rFonts w:ascii="Calibri" w:hAnsi="Calibri"/>
          <w:color w:val="525866"/>
          <w:sz w:val="22"/>
        </w:rPr>
        <w:t>with the majority from underlying organic growth. Credit metrics continued to improve YoY: domestic card charge-off rate 4.71% (down 54 bps YoY), delinquency rate 3.39% (down 21 bps YoY).</w:t>
      </w:r>
    </w:p>
    <w:p>
      <w:pPr>
        <w:pStyle w:val="ListBullet"/>
        <w:ind w:left="360" w:hanging="360"/>
      </w:pPr>
      <w:r>
        <w:rPr>
          <w:rFonts w:ascii="Calibri" w:hAnsi="Calibri"/>
          <w:b/>
          <w:color w:val="525866"/>
          <w:sz w:val="22"/>
        </w:rPr>
        <w:t xml:space="preserve">Global payment network transaction volume ~$190B in Q2 2026, up ~9% sequentially — </w:t>
      </w:r>
      <w:r>
        <w:rPr>
          <w:rFonts w:ascii="Calibri" w:hAnsi="Calibri"/>
          <w:color w:val="525866"/>
          <w:sz w:val="22"/>
        </w:rPr>
        <w:t>aided by Capital One debit customer conversion to Discover network. Note: COF's debit migration away from MA's network is now essentially complete (as MA noted on Q1 call), so this is no longer a headwind for MA.</w:t>
      </w:r>
    </w:p>
    <w:p>
      <w:pPr>
        <w:pStyle w:val="ListBullet"/>
        <w:ind w:left="360" w:hanging="360"/>
      </w:pPr>
      <w:r>
        <w:rPr>
          <w:rFonts w:ascii="Calibri" w:hAnsi="Calibri"/>
          <w:b/>
          <w:color w:val="525866"/>
          <w:sz w:val="22"/>
        </w:rPr>
        <w:t xml:space="preserve">New originations performing "strikingly well" — </w:t>
      </w:r>
      <w:r>
        <w:rPr>
          <w:rFonts w:ascii="Calibri" w:hAnsi="Calibri"/>
          <w:color w:val="525866"/>
          <w:sz w:val="22"/>
        </w:rPr>
        <w:t>2024 and 2025 vintages coming in better than 2022-2023 in legacy Capital One. No evidence of a K-shaped economy within COF's numbers. Positive for MA's domestic transaction volume outlook.</w:t>
      </w:r>
    </w:p>
    <w:p>
      <w:pPr>
        <w:pStyle w:val="Heading3"/>
      </w:pPr>
      <w:r>
        <w:rPr>
          <w:rFonts w:ascii="Calibri" w:hAnsi="Calibri"/>
          <w:b/>
          <w:color w:val="3B4259"/>
          <w:sz w:val="24"/>
        </w:rPr>
        <w:t>JPMorgan Chase (JPM) — Q2 2026 Earnings (July 14, 2026)</w:t>
      </w:r>
    </w:p>
    <w:p>
      <w:pPr>
        <w:pStyle w:val="ListBullet"/>
        <w:ind w:left="360" w:hanging="360"/>
      </w:pPr>
      <w:r>
        <w:rPr>
          <w:rFonts w:ascii="Calibri" w:hAnsi="Calibri"/>
          <w:b/>
          <w:color w:val="525866"/>
          <w:sz w:val="22"/>
        </w:rPr>
        <w:t xml:space="preserve">Consumer spending "robust and across income segments" with tax refunds providing a tailwind — </w:t>
      </w:r>
      <w:r>
        <w:rPr>
          <w:rFonts w:ascii="Calibri" w:hAnsi="Calibri"/>
          <w:color w:val="525866"/>
          <w:sz w:val="22"/>
        </w:rPr>
        <w:t>CCB revenue up 8% YoY, driven by higher card NII on higher revolving balances. Delinquencies "a little lower than expected" with better performance across FICO scores.</w:t>
      </w:r>
    </w:p>
    <w:p>
      <w:pPr>
        <w:pStyle w:val="ListBullet"/>
        <w:ind w:left="360" w:hanging="360"/>
      </w:pPr>
      <w:r>
        <w:rPr>
          <w:rFonts w:ascii="Calibri" w:hAnsi="Calibri"/>
          <w:b/>
          <w:color w:val="525866"/>
          <w:sz w:val="22"/>
        </w:rPr>
        <w:t xml:space="preserve">Card net charge-off rate now expected at ~3.2%, reflecting better-than-expected consumer credit — </w:t>
      </w:r>
      <w:r>
        <w:rPr>
          <w:rFonts w:ascii="Calibri" w:hAnsi="Calibri"/>
          <w:color w:val="525866"/>
          <w:sz w:val="22"/>
        </w:rPr>
        <w:t>a downward revision to charge-off guidance is a positive signal for consumer health and spending capacity.</w:t>
      </w:r>
    </w:p>
    <w:p>
      <w:pPr>
        <w:pStyle w:val="ListBullet"/>
        <w:ind w:left="360" w:hanging="360"/>
      </w:pPr>
      <w:r>
        <w:rPr>
          <w:rFonts w:ascii="Calibri" w:hAnsi="Calibri"/>
          <w:b/>
          <w:color w:val="525866"/>
          <w:sz w:val="22"/>
        </w:rPr>
        <w:t xml:space="preserve">Jamie Dimon: "It's getting close to as good as it gets" for the current market environment — </w:t>
      </w:r>
      <w:r>
        <w:rPr>
          <w:rFonts w:ascii="Calibri" w:hAnsi="Calibri"/>
          <w:color w:val="525866"/>
          <w:sz w:val="22"/>
        </w:rPr>
        <w:t>constructive macro backdrop with full NII guidance raised to ~$105.5B for FY2026. AI CapEx projected to grow from $700B this year to over $1T next year, supporting commercial payment volume growth.</w:t>
      </w:r>
    </w:p>
    <w:p>
      <w:pPr>
        <w:pStyle w:val="Heading3"/>
      </w:pPr>
      <w:r>
        <w:rPr>
          <w:rFonts w:ascii="Calibri" w:hAnsi="Calibri"/>
          <w:b/>
          <w:color w:val="3B4259"/>
          <w:sz w:val="24"/>
        </w:rPr>
        <w:t>Bank of America (BAC) — Q2 2026 Earnings (July 14, 2026)</w:t>
      </w:r>
    </w:p>
    <w:p>
      <w:pPr>
        <w:pStyle w:val="ListBullet"/>
        <w:ind w:left="360" w:hanging="360"/>
      </w:pPr>
      <w:r>
        <w:rPr>
          <w:rFonts w:ascii="Calibri" w:hAnsi="Calibri"/>
          <w:b/>
          <w:color w:val="525866"/>
          <w:sz w:val="22"/>
        </w:rPr>
        <w:t xml:space="preserve">Consumer spending "recently expanded and continued to outperform expectations" — </w:t>
      </w:r>
      <w:r>
        <w:rPr>
          <w:rFonts w:ascii="Calibri" w:hAnsi="Calibri"/>
          <w:color w:val="525866"/>
          <w:sz w:val="22"/>
        </w:rPr>
        <w:t>H1 YoY spending growth of 5% accelerated to 6%+ in Q2. Consumer credit quality "remains strong and in line with expectations." Charge-offs and delinquencies improved both YoY and QoQ.</w:t>
      </w:r>
    </w:p>
    <w:p>
      <w:pPr>
        <w:pStyle w:val="ListBullet"/>
        <w:ind w:left="360" w:hanging="360"/>
      </w:pPr>
      <w:r>
        <w:rPr>
          <w:rFonts w:ascii="Calibri" w:hAnsi="Calibri"/>
          <w:b/>
          <w:color w:val="525866"/>
          <w:sz w:val="22"/>
        </w:rPr>
        <w:t xml:space="preserve">BofA research raised 2026 U.S. GDP growth forecast to 2.2%; global growth expected at 3.2% in 2026 — </w:t>
      </w:r>
      <w:r>
        <w:rPr>
          <w:rFonts w:ascii="Calibri" w:hAnsi="Calibri"/>
          <w:color w:val="525866"/>
          <w:sz w:val="22"/>
        </w:rPr>
        <w:t>"very constructive" economic backdrop. U.S. economy "proved more durable than expected, supported by the strong consumer, ongoing AI-driven investments, and easing energy costs."</w:t>
      </w:r>
    </w:p>
    <w:p>
      <w:pPr>
        <w:pStyle w:val="ListBullet"/>
        <w:ind w:left="360" w:hanging="360"/>
      </w:pPr>
      <w:r>
        <w:rPr>
          <w:rFonts w:ascii="Calibri" w:hAnsi="Calibri"/>
          <w:b/>
          <w:color w:val="525866"/>
          <w:sz w:val="22"/>
        </w:rPr>
        <w:t xml:space="preserve">Encouraged spending up 9% YoY to $266B; credit card grew 4% YoY — </w:t>
      </w:r>
      <w:r>
        <w:rPr>
          <w:rFonts w:ascii="Calibri" w:hAnsi="Calibri"/>
          <w:color w:val="525866"/>
          <w:sz w:val="22"/>
        </w:rPr>
        <w:t>BofA is progressing toward its 5% card growth target. Positive for MA's domestic transaction volume.</w:t>
      </w:r>
    </w:p>
    <w:p>
      <w:pPr>
        <w:pStyle w:val="Heading3"/>
      </w:pPr>
      <w:r>
        <w:rPr>
          <w:rFonts w:ascii="Calibri" w:hAnsi="Calibri"/>
          <w:b/>
          <w:color w:val="3B4259"/>
          <w:sz w:val="24"/>
        </w:rPr>
        <w:t>Wells Fargo (WFC) — Q2 2026 Earnings (July 14, 2026)</w:t>
      </w:r>
    </w:p>
    <w:p>
      <w:pPr>
        <w:pStyle w:val="ListBullet"/>
        <w:ind w:left="360" w:hanging="360"/>
      </w:pPr>
      <w:r>
        <w:rPr>
          <w:rFonts w:ascii="Calibri" w:hAnsi="Calibri"/>
          <w:b/>
          <w:color w:val="525866"/>
          <w:sz w:val="22"/>
        </w:rPr>
        <w:t xml:space="preserve">Consumer spending "higher"; consumer credit quality "remains strong across all portfolios" — </w:t>
      </w:r>
      <w:r>
        <w:rPr>
          <w:rFonts w:ascii="Calibri" w:hAnsi="Calibri"/>
          <w:color w:val="525866"/>
          <w:sz w:val="22"/>
        </w:rPr>
        <w:t>net loan charge-offs declined 10 bps YoY. Consumer charge-offs declined 74 bps with improvements across the portfolio. Delinquency trends "better than we model most months."</w:t>
      </w:r>
    </w:p>
    <w:p>
      <w:pPr>
        <w:pStyle w:val="ListBullet"/>
        <w:ind w:left="360" w:hanging="360"/>
      </w:pPr>
      <w:r>
        <w:rPr>
          <w:rFonts w:ascii="Calibri" w:hAnsi="Calibri"/>
          <w:b/>
          <w:color w:val="525866"/>
          <w:sz w:val="22"/>
        </w:rPr>
        <w:t xml:space="preserve">New credit card accounts up 46% YoY in Q2 — </w:t>
      </w:r>
      <w:r>
        <w:rPr>
          <w:rFonts w:ascii="Calibri" w:hAnsi="Calibri"/>
          <w:color w:val="525866"/>
          <w:sz w:val="22"/>
        </w:rPr>
        <w:t>WFC's accelerating card growth is a positive for MA's domestic switched transaction volumes, as WFC is a major MA issuer.</w:t>
      </w:r>
    </w:p>
    <w:p>
      <w:pPr>
        <w:pStyle w:val="ListBullet"/>
        <w:ind w:left="360" w:hanging="360"/>
      </w:pPr>
      <w:r>
        <w:rPr>
          <w:rFonts w:ascii="Calibri" w:hAnsi="Calibri"/>
          <w:b/>
          <w:color w:val="525866"/>
          <w:sz w:val="22"/>
        </w:rPr>
        <w:t xml:space="preserve">"Consumers and businesses remain strong" heading into H2 2026 — </w:t>
      </w:r>
      <w:r>
        <w:rPr>
          <w:rFonts w:ascii="Calibri" w:hAnsi="Calibri"/>
          <w:color w:val="525866"/>
          <w:sz w:val="22"/>
        </w:rPr>
        <w:t>markets and U.S. economy have "absorbed macroeconomic and geopolitical uncertainty well." Equity indices at or near all-time highs; credit spreads narrow.</w:t>
      </w:r>
    </w:p>
    <w:p>
      <w:r>
        <w:rPr>
          <w:rFonts w:ascii="Calibri" w:hAnsi="Calibri"/>
          <w:b/>
          <w:color w:val="525866"/>
          <w:sz w:val="22"/>
        </w:rPr>
        <w:t xml:space="preserve">Overall Read-Through Assessment: </w:t>
      </w:r>
      <w:r>
        <w:rPr>
          <w:rFonts w:ascii="Calibri" w:hAnsi="Calibri"/>
          <w:color w:val="525866"/>
          <w:sz w:val="22"/>
        </w:rPr>
        <w:t>The peer commentary is uniformly constructive for MA's Q2 2026 print. Consumer spending is accelerating (not decelerating), cross-border volumes are recovering with Visa's travel cross-border up 10% and Amex's travel bookings up 22%, credit quality is pristine, and the macro backdrop is described as "as good as it gets" by JPMorgan's CEO. The key risk — Middle East conflict impact on cross-border travel — appears to be fading faster than MA's conservative Q2 guidance assumed, with Amex explicitly noting "no evidence of a general slowdown" despite geopolitical impacts. This peer data collectively supports a beat on MA's Q2 cross-border volume and net revenue.</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broad senior leadership reshuffle (effective August 3, 2026), which introduces execution risk around the CFO transition but was characterized by management as reflecting internal bench depth with no departures; the BVNK acquisition pending close and the stablecoin settlement expansion are the most strategically significant longer-term signals.</w:t>
      </w:r>
    </w:p>
    <w:p>
      <w:pPr>
        <w:pStyle w:val="ListBullet"/>
        <w:ind w:left="360" w:hanging="360"/>
      </w:pPr>
      <w:r>
        <w:rPr>
          <w:rFonts w:ascii="Calibri" w:hAnsi="Calibri"/>
          <w:b/>
          <w:color w:val="525866"/>
          <w:sz w:val="22"/>
        </w:rPr>
        <w:t xml:space="preserve">June 2, 2026 — Major Senior Leadership Reshuffle Announced (effective August 3, 2026): </w:t>
      </w:r>
      <w:r>
        <w:rPr>
          <w:rFonts w:ascii="Calibri" w:hAnsi="Calibri"/>
          <w:color w:val="525866"/>
          <w:sz w:val="22"/>
        </w:rPr>
        <w:t xml:space="preserve">Ling Hai (President, Asia Pacific/EMEA) becomes CFO, succeeding Sachin Mehra. Mehra moves to a new Chief Business Officer role. Linda Kirkpatrick becomes Chief Services Officer (succeeding Craig Vosburg, who becomes Vice Chair). Dimi Dosis becomes Chief Commercial Payments Officer; Raj Seshadri becomes Senior Strategic Advisor to CEO. Tim Murphy (Vice Chair) plans to retire in October 2026. </w:t>
      </w:r>
    </w:p>
    <w:p>
      <w:pPr>
        <w:pStyle w:val="ListBullet"/>
        <w:ind w:left="360" w:hanging="360"/>
      </w:pPr>
      <w:r>
        <w:rPr>
          <w:rFonts w:ascii="Calibri" w:hAnsi="Calibri"/>
          <w:i/>
          <w:color w:val="525866"/>
          <w:sz w:val="22"/>
        </w:rPr>
        <w:t xml:space="preserve">Implication: </w:t>
      </w:r>
      <w:r>
        <w:rPr>
          <w:rFonts w:ascii="Calibri" w:hAnsi="Calibri"/>
          <w:color w:val="525866"/>
          <w:sz w:val="22"/>
        </w:rPr>
        <w:t>CFO transition introduces near-term uncertainty around guidance communication style and investor relations tone. Management characterized the changes as reflecting internal bench depth with no external hires at the senior level (except Ann Johnson into Security Solutions). Watch for any change in guidance philosophy on the Q2 call.</w:t>
      </w:r>
    </w:p>
    <w:p>
      <w:pPr>
        <w:pStyle w:val="ListBullet"/>
        <w:ind w:left="360" w:hanging="360"/>
      </w:pPr>
      <w:r>
        <w:rPr>
          <w:rFonts w:ascii="Calibri" w:hAnsi="Calibri"/>
          <w:b/>
          <w:color w:val="525866"/>
          <w:sz w:val="22"/>
        </w:rPr>
        <w:t xml:space="preserve">June 2026 — Stablecoin Settlement Expansion: </w:t>
      </w:r>
      <w:r>
        <w:rPr>
          <w:rFonts w:ascii="Calibri" w:hAnsi="Calibri"/>
          <w:color w:val="525866"/>
          <w:sz w:val="22"/>
        </w:rPr>
        <w:t xml:space="preserve">Mastercard announced expansion of card settlement capabilities to include regulated stablecoins (USDC, PYUSD, USDG, USDP, RLUSD, SoFiUSD) across multiple blockchain networks (Arbitrum, Base, Ethereum, Solana, and others), enabling intraday, weekend, and holiday settlement alongside traditional fiat. </w:t>
      </w:r>
    </w:p>
    <w:p>
      <w:pPr>
        <w:pStyle w:val="ListBullet"/>
        <w:ind w:left="360" w:hanging="360"/>
      </w:pPr>
      <w:r>
        <w:rPr>
          <w:rFonts w:ascii="Calibri" w:hAnsi="Calibri"/>
          <w:i/>
          <w:color w:val="525866"/>
          <w:sz w:val="22"/>
        </w:rPr>
        <w:t xml:space="preserve">Implication: </w:t>
      </w:r>
      <w:r>
        <w:rPr>
          <w:rFonts w:ascii="Calibri" w:hAnsi="Calibri"/>
          <w:color w:val="525866"/>
          <w:sz w:val="22"/>
        </w:rPr>
        <w:t>Positions MA as the infrastructure layer for stablecoin-enabled payments; not a near-term revenue driver but a significant strategic moat-building move that management views as net incremental (not cannibalistic) to existing volume.</w:t>
      </w:r>
    </w:p>
    <w:p>
      <w:pPr>
        <w:pStyle w:val="ListBullet"/>
        <w:ind w:left="360" w:hanging="360"/>
      </w:pPr>
      <w:r>
        <w:rPr>
          <w:rFonts w:ascii="Calibri" w:hAnsi="Calibri"/>
          <w:b/>
          <w:color w:val="525866"/>
          <w:sz w:val="22"/>
        </w:rPr>
        <w:t xml:space="preserve">June 9, 2026 (RBC Conference) — Machine-to-Machine Payment System Unveiled: </w:t>
      </w:r>
      <w:r>
        <w:rPr>
          <w:rFonts w:ascii="Calibri" w:hAnsi="Calibri"/>
          <w:color w:val="525866"/>
          <w:sz w:val="22"/>
        </w:rPr>
        <w:t xml:space="preserve">CPO John Lambert previewed a machine-to-machine payment system designed for agent-to-agent transactions (sub-5ms velocity, permissioning infrastructure, settlement guarantee). Characterized as a net-new addressable market beyond existing e-commerce volume. </w:t>
      </w:r>
    </w:p>
    <w:p>
      <w:pPr>
        <w:pStyle w:val="ListBullet"/>
        <w:ind w:left="360" w:hanging="360"/>
      </w:pPr>
      <w:r>
        <w:rPr>
          <w:rFonts w:ascii="Calibri" w:hAnsi="Calibri"/>
          <w:i/>
          <w:color w:val="525866"/>
          <w:sz w:val="22"/>
        </w:rPr>
        <w:t xml:space="preserve">Implication: </w:t>
      </w:r>
      <w:r>
        <w:rPr>
          <w:rFonts w:ascii="Calibri" w:hAnsi="Calibri"/>
          <w:color w:val="525866"/>
          <w:sz w:val="22"/>
        </w:rPr>
        <w:t>Reinforces the agentic commerce growth narrative; not a Q2 revenue driver but a key long-term TAM expansion story that management is actively building ecosystem around.</w:t>
      </w:r>
    </w:p>
    <w:p>
      <w:pPr>
        <w:pStyle w:val="ListBullet"/>
        <w:ind w:left="360" w:hanging="360"/>
      </w:pPr>
      <w:r>
        <w:rPr>
          <w:rFonts w:ascii="Calibri" w:hAnsi="Calibri"/>
          <w:b/>
          <w:color w:val="525866"/>
          <w:sz w:val="22"/>
        </w:rPr>
        <w:t xml:space="preserve">BVNK Acquisition — Pending Close (Expected Before Year-End 2026): </w:t>
      </w:r>
      <w:r>
        <w:rPr>
          <w:rFonts w:ascii="Calibri" w:hAnsi="Calibri"/>
          <w:color w:val="525866"/>
          <w:sz w:val="22"/>
        </w:rPr>
        <w:t xml:space="preserve">CFO Mehra confirmed at the May 19 JP Morgan conference that BVNK close is expected before year-end. CPO Lambert at the June 9 RBC conference said close expected "within the next couple of months." BVNK provides send/receive/store/convert capabilities for digital assets with a volume-based revenue model. </w:t>
      </w:r>
    </w:p>
    <w:p>
      <w:pPr>
        <w:pStyle w:val="ListBullet"/>
        <w:ind w:left="360" w:hanging="360"/>
      </w:pPr>
      <w:r>
        <w:rPr>
          <w:rFonts w:ascii="Calibri" w:hAnsi="Calibri"/>
          <w:i/>
          <w:color w:val="525866"/>
          <w:sz w:val="22"/>
        </w:rPr>
        <w:t xml:space="preserve">Implication: </w:t>
      </w:r>
      <w:r>
        <w:rPr>
          <w:rFonts w:ascii="Calibri" w:hAnsi="Calibri"/>
          <w:color w:val="525866"/>
          <w:sz w:val="22"/>
        </w:rPr>
        <w:t>If BVNK closes in Q3 2026, it will begin contributing to VASS revenue in H2 2026. Management has guided for "minimal inorganic impact" in current guidance, so a close would represent upside to FY2026 VASS estimates.</w:t>
      </w:r>
    </w:p>
    <w:p>
      <w:pPr>
        <w:pStyle w:val="ListBullet"/>
        <w:ind w:left="360" w:hanging="360"/>
      </w:pPr>
      <w:r>
        <w:rPr>
          <w:rFonts w:ascii="Calibri" w:hAnsi="Calibri"/>
          <w:b/>
          <w:color w:val="525866"/>
          <w:sz w:val="22"/>
        </w:rPr>
        <w:t xml:space="preserve">May 7, 2026 (8-K) — Chris Mullett Appointed Corporate Controller: </w:t>
      </w:r>
      <w:r>
        <w:rPr>
          <w:rFonts w:ascii="Calibri" w:hAnsi="Calibri"/>
          <w:color w:val="525866"/>
          <w:sz w:val="22"/>
        </w:rPr>
        <w:t xml:space="preserve">Mastercard appointed Chris Mullett as Corporate Controller, part of the broader finance leadership reorganization. </w:t>
      </w:r>
    </w:p>
    <w:p>
      <w:pPr>
        <w:pStyle w:val="ListBullet"/>
        <w:ind w:left="360" w:hanging="360"/>
      </w:pPr>
      <w:r>
        <w:rPr>
          <w:rFonts w:ascii="Calibri" w:hAnsi="Calibri"/>
          <w:i/>
          <w:color w:val="525866"/>
          <w:sz w:val="22"/>
        </w:rPr>
        <w:t xml:space="preserve">Implication: </w:t>
      </w:r>
      <w:r>
        <w:rPr>
          <w:rFonts w:ascii="Calibri" w:hAnsi="Calibri"/>
          <w:color w:val="525866"/>
          <w:sz w:val="22"/>
        </w:rPr>
        <w:t>Routine appointment; part of the broader leadership transition. No financial impact.</w:t>
      </w:r>
    </w:p>
    <w:p>
      <w:pPr>
        <w:pStyle w:val="ListBullet"/>
        <w:ind w:left="360" w:hanging="360"/>
      </w:pPr>
      <w:r>
        <w:rPr>
          <w:rFonts w:ascii="Calibri" w:hAnsi="Calibri"/>
          <w:b/>
          <w:color w:val="525866"/>
          <w:sz w:val="22"/>
        </w:rPr>
        <w:t xml:space="preserve">May 19, 2026 (JP Morgan Conference) — CFO Confirms Mid-May Trends "Stable to Slightly Better": </w:t>
      </w:r>
      <w:r>
        <w:rPr>
          <w:rFonts w:ascii="Calibri" w:hAnsi="Calibri"/>
          <w:color w:val="525866"/>
          <w:sz w:val="22"/>
        </w:rPr>
        <w:t xml:space="preserve">CFO Mehra provided the first post-Q1 consumer spending update, confirming that trends through the first two weeks of May were stable to slightly better across all metrics, with April timing distortions (Ramadan/Easter) reversing as expected. </w:t>
      </w:r>
    </w:p>
    <w:p>
      <w:pPr>
        <w:pStyle w:val="ListBullet"/>
        <w:ind w:left="360" w:hanging="360"/>
      </w:pPr>
      <w:r>
        <w:rPr>
          <w:rFonts w:ascii="Calibri" w:hAnsi="Calibri"/>
          <w:i/>
          <w:color w:val="525866"/>
          <w:sz w:val="22"/>
        </w:rPr>
        <w:t xml:space="preserve">Implication: </w:t>
      </w:r>
      <w:r>
        <w:rPr>
          <w:rFonts w:ascii="Calibri" w:hAnsi="Calibri"/>
          <w:color w:val="525866"/>
          <w:sz w:val="22"/>
        </w:rPr>
        <w:t>Removed the tail risk of a Q2 guidance cut; confirmed management's base case that April weakness was timing-driven, not fundamental. Positive for Q2 setup.</w:t>
      </w:r>
    </w:p>
    <w:p>
      <w:pPr>
        <w:pStyle w:val="ListBullet"/>
        <w:ind w:left="360" w:hanging="360"/>
      </w:pPr>
      <w:r>
        <w:rPr>
          <w:rFonts w:ascii="Calibri" w:hAnsi="Calibri"/>
          <w:b/>
          <w:color w:val="525866"/>
          <w:sz w:val="22"/>
        </w:rPr>
        <w:t xml:space="preserve">May 28, 2026 (Bernstein Conference) — CEO Miebach Confirms Consumer Spending Growth Continued into May: </w:t>
      </w:r>
      <w:r>
        <w:rPr>
          <w:rFonts w:ascii="Calibri" w:hAnsi="Calibri"/>
          <w:color w:val="525866"/>
          <w:sz w:val="22"/>
        </w:rPr>
        <w:t xml:space="preserve">CEO confirmed "stable to slightly better consumer spending" in the first two weeks of May, with healthy growth in both U.S. and international markets. Reiterated BVNK expected to close "this year." </w:t>
      </w:r>
    </w:p>
    <w:p>
      <w:pPr>
        <w:pStyle w:val="ListBullet"/>
        <w:ind w:left="360" w:hanging="360"/>
      </w:pPr>
      <w:r>
        <w:rPr>
          <w:rFonts w:ascii="Calibri" w:hAnsi="Calibri"/>
          <w:i/>
          <w:color w:val="525866"/>
          <w:sz w:val="22"/>
        </w:rPr>
        <w:t xml:space="preserve">Implication: </w:t>
      </w:r>
      <w:r>
        <w:rPr>
          <w:rFonts w:ascii="Calibri" w:hAnsi="Calibri"/>
          <w:color w:val="525866"/>
          <w:sz w:val="22"/>
        </w:rPr>
        <w:t>Consistent with CFO commentary; reinforces the constructive Q2 setup.</w:t>
      </w:r>
    </w:p>
    <w:p>
      <w:pPr>
        <w:pStyle w:val="ListBullet"/>
        <w:ind w:left="360" w:hanging="360"/>
      </w:pPr>
      <w:r>
        <w:rPr>
          <w:rFonts w:ascii="Calibri" w:hAnsi="Calibri"/>
          <w:b/>
          <w:color w:val="525866"/>
          <w:sz w:val="22"/>
        </w:rPr>
        <w:t xml:space="preserve">June 3, 2026 (Evercore TMT Conference) — Security Solutions Deep Dive: </w:t>
      </w:r>
      <w:r>
        <w:rPr>
          <w:rFonts w:ascii="Calibri" w:hAnsi="Calibri"/>
          <w:color w:val="525866"/>
          <w:sz w:val="22"/>
        </w:rPr>
        <w:t xml:space="preserve">Management articulated competitive dynamics in Security Solutions (largest VASS sub-portfolio), characterizing most fraud/security vendors as partners rather than competitors. Decision Intelligence Pro cited with 20% improvement in fraud detection and 80% reduction in false positives. Ann Johnson (former Deputy CISO at Microsoft) joining to lead Security Solutions. </w:t>
      </w:r>
    </w:p>
    <w:p>
      <w:pPr>
        <w:pStyle w:val="ListBullet"/>
        <w:ind w:left="360" w:hanging="360"/>
      </w:pPr>
      <w:r>
        <w:rPr>
          <w:rFonts w:ascii="Calibri" w:hAnsi="Calibri"/>
          <w:i/>
          <w:color w:val="525866"/>
          <w:sz w:val="22"/>
        </w:rPr>
        <w:t xml:space="preserve">Implication: </w:t>
      </w:r>
      <w:r>
        <w:rPr>
          <w:rFonts w:ascii="Calibri" w:hAnsi="Calibri"/>
          <w:color w:val="525866"/>
          <w:sz w:val="22"/>
        </w:rPr>
        <w:t>Reinforces VASS durability narrative; new Security Solutions leadership from Microsoft brings credibility in the enterprise cybersecurity market.</w:t>
      </w:r>
    </w:p>
    <w:p>
      <w:pPr>
        <w:pStyle w:val="ListBullet"/>
        <w:ind w:left="360" w:hanging="360"/>
      </w:pPr>
      <w:r>
        <w:rPr>
          <w:rFonts w:ascii="Calibri" w:hAnsi="Calibri"/>
          <w:b/>
          <w:color w:val="525866"/>
          <w:sz w:val="22"/>
        </w:rPr>
        <w:t xml:space="preserve">June 17, 2026 (8-K) — Annual Meeting: Shareholders Elect Directors, Approve Executive Pay, Reject Governance Proposals: </w:t>
      </w:r>
      <w:r>
        <w:rPr>
          <w:rFonts w:ascii="Calibri" w:hAnsi="Calibri"/>
          <w:color w:val="525866"/>
          <w:sz w:val="22"/>
        </w:rPr>
        <w:t xml:space="preserve">Routine annual meeting outcome. No material governance changes. </w:t>
      </w:r>
    </w:p>
    <w:p>
      <w:pPr>
        <w:pStyle w:val="ListBullet"/>
        <w:ind w:left="360" w:hanging="360"/>
      </w:pPr>
      <w:r>
        <w:rPr>
          <w:rFonts w:ascii="Calibri" w:hAnsi="Calibri"/>
          <w:i/>
          <w:color w:val="525866"/>
          <w:sz w:val="22"/>
        </w:rPr>
        <w:t xml:space="preserve">Implication: </w:t>
      </w:r>
      <w:r>
        <w:rPr>
          <w:rFonts w:ascii="Calibri" w:hAnsi="Calibri"/>
          <w:color w:val="525866"/>
          <w:sz w:val="22"/>
        </w:rPr>
        <w:t>No financial impact.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from senior executives — all transactions since Q1 earnings are either 10b5-1 planned sales (pre-scheduled, non-discretionary) or routine stock option exercises paired with same-day sales, plus standard director equity award grants. Nothing signals unusual conviction or concern from insiders.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Arkell, Sandra A.</w:t>
            </w:r>
          </w:p>
        </w:tc>
        <w:tc>
          <w:tcPr>
            <w:tcW w:type="dxa" w:w="1440"/>
          </w:tcPr>
          <w:p>
            <w:r>
              <w:rPr>
                <w:rFonts w:ascii="Calibri" w:hAnsi="Calibri"/>
                <w:sz w:val="22"/>
              </w:rPr>
              <w:t>Controller</w:t>
            </w:r>
          </w:p>
        </w:tc>
        <w:tc>
          <w:tcPr>
            <w:tcW w:type="dxa" w:w="1440"/>
          </w:tcPr>
          <w:p>
            <w:r>
              <w:rPr>
                <w:rFonts w:ascii="Calibri" w:hAnsi="Calibri"/>
                <w:sz w:val="22"/>
              </w:rPr>
              <w:t>10b5-1 Planned Sale</w:t>
            </w:r>
          </w:p>
        </w:tc>
        <w:tc>
          <w:tcPr>
            <w:tcW w:type="dxa" w:w="1440"/>
          </w:tcPr>
          <w:p>
            <w:r>
              <w:rPr>
                <w:rFonts w:ascii="Calibri" w:hAnsi="Calibri"/>
                <w:sz w:val="22"/>
              </w:rPr>
              <w:t>144 / 200 / 200 / 200 shares (multiple tranches)</w:t>
            </w:r>
          </w:p>
        </w:tc>
        <w:tc>
          <w:tcPr>
            <w:tcW w:type="dxa" w:w="1440"/>
          </w:tcPr>
          <w:p>
            <w:r>
              <w:rPr>
                <w:rFonts w:ascii="Calibri" w:hAnsi="Calibri"/>
                <w:sz w:val="22"/>
              </w:rPr>
              <w:t>Jul 6-15, 2026</w:t>
            </w:r>
          </w:p>
        </w:tc>
        <w:tc>
          <w:tcPr>
            <w:tcW w:type="dxa" w:w="1440"/>
          </w:tcPr>
          <w:p>
            <w:r>
              <w:rPr>
                <w:rFonts w:ascii="Calibri" w:hAnsi="Calibri"/>
                <w:sz w:val="22"/>
              </w:rPr>
              <w:t>Pre-scheduled 10b5-1 plan; routine, non-discretionary.</w:t>
            </w:r>
          </w:p>
        </w:tc>
      </w:tr>
      <w:tr>
        <w:tc>
          <w:tcPr>
            <w:tcW w:type="dxa" w:w="1440"/>
          </w:tcPr>
          <w:p>
            <w:r>
              <w:rPr>
                <w:rFonts w:ascii="Calibri" w:hAnsi="Calibri"/>
                <w:sz w:val="22"/>
              </w:rPr>
              <w:t>McLaughlin, Edward G.</w:t>
            </w:r>
          </w:p>
        </w:tc>
        <w:tc>
          <w:tcPr>
            <w:tcW w:type="dxa" w:w="1440"/>
          </w:tcPr>
          <w:p>
            <w:r>
              <w:rPr>
                <w:rFonts w:ascii="Calibri" w:hAnsi="Calibri"/>
                <w:sz w:val="22"/>
              </w:rPr>
              <w:t>President &amp; CTO, MA Tech</w:t>
            </w:r>
          </w:p>
        </w:tc>
        <w:tc>
          <w:tcPr>
            <w:tcW w:type="dxa" w:w="1440"/>
          </w:tcPr>
          <w:p>
            <w:r>
              <w:rPr>
                <w:rFonts w:ascii="Calibri" w:hAnsi="Calibri"/>
                <w:sz w:val="22"/>
              </w:rPr>
              <w:t>Option Exercise + Same-Day Sale (10b5-1)</w:t>
            </w:r>
          </w:p>
        </w:tc>
        <w:tc>
          <w:tcPr>
            <w:tcW w:type="dxa" w:w="1440"/>
          </w:tcPr>
          <w:p>
            <w:r>
              <w:rPr>
                <w:rFonts w:ascii="Calibri" w:hAnsi="Calibri"/>
                <w:sz w:val="22"/>
              </w:rPr>
              <w:t>14,260 shares exercised &amp; sold (Jul 1); 19,800 shares exercised (Jul 15)</w:t>
            </w:r>
          </w:p>
        </w:tc>
        <w:tc>
          <w:tcPr>
            <w:tcW w:type="dxa" w:w="1440"/>
          </w:tcPr>
          <w:p>
            <w:r>
              <w:rPr>
                <w:rFonts w:ascii="Calibri" w:hAnsi="Calibri"/>
                <w:sz w:val="22"/>
              </w:rPr>
              <w:t>Jul 1-15, 2026</w:t>
            </w:r>
          </w:p>
        </w:tc>
        <w:tc>
          <w:tcPr>
            <w:tcW w:type="dxa" w:w="1440"/>
          </w:tcPr>
          <w:p>
            <w:r>
              <w:rPr>
                <w:rFonts w:ascii="Calibri" w:hAnsi="Calibri"/>
                <w:sz w:val="22"/>
              </w:rPr>
              <w:t>10b5-1 plan. Option exercise paired with same-day sale is standard tax-efficient execution; not a discretionary sell signal.</w:t>
            </w:r>
          </w:p>
        </w:tc>
      </w:tr>
      <w:tr>
        <w:tc>
          <w:tcPr>
            <w:tcW w:type="dxa" w:w="1440"/>
          </w:tcPr>
          <w:p>
            <w:r>
              <w:rPr>
                <w:rFonts w:ascii="Calibri" w:hAnsi="Calibri"/>
                <w:sz w:val="22"/>
              </w:rPr>
              <w:t>Seshadri, Raj</w:t>
            </w:r>
          </w:p>
        </w:tc>
        <w:tc>
          <w:tcPr>
            <w:tcW w:type="dxa" w:w="1440"/>
          </w:tcPr>
          <w:p>
            <w:r>
              <w:rPr>
                <w:rFonts w:ascii="Calibri" w:hAnsi="Calibri"/>
                <w:sz w:val="22"/>
              </w:rPr>
              <w:t>Chief Commercial Payments Officer</w:t>
            </w:r>
          </w:p>
        </w:tc>
        <w:tc>
          <w:tcPr>
            <w:tcW w:type="dxa" w:w="1440"/>
          </w:tcPr>
          <w:p>
            <w:r>
              <w:rPr>
                <w:rFonts w:ascii="Calibri" w:hAnsi="Calibri"/>
                <w:sz w:val="22"/>
              </w:rPr>
              <w:t>Option Exercise + Same-Day Sale (10b5-1)</w:t>
            </w:r>
          </w:p>
        </w:tc>
        <w:tc>
          <w:tcPr>
            <w:tcW w:type="dxa" w:w="1440"/>
          </w:tcPr>
          <w:p>
            <w:r>
              <w:rPr>
                <w:rFonts w:ascii="Calibri" w:hAnsi="Calibri"/>
                <w:sz w:val="22"/>
              </w:rPr>
              <w:t>~6,805 shares across multiple tranches</w:t>
            </w:r>
          </w:p>
        </w:tc>
        <w:tc>
          <w:tcPr>
            <w:tcW w:type="dxa" w:w="1440"/>
          </w:tcPr>
          <w:p>
            <w:r>
              <w:rPr>
                <w:rFonts w:ascii="Calibri" w:hAnsi="Calibri"/>
                <w:sz w:val="22"/>
              </w:rPr>
              <w:t>Jul 1-2, 2026</w:t>
            </w:r>
          </w:p>
        </w:tc>
        <w:tc>
          <w:tcPr>
            <w:tcW w:type="dxa" w:w="1440"/>
          </w:tcPr>
          <w:p>
            <w:r>
              <w:rPr>
                <w:rFonts w:ascii="Calibri" w:hAnsi="Calibri"/>
                <w:sz w:val="22"/>
              </w:rPr>
              <w:t>10b5-1 plan. Seshadri recently transitioned to Senior Strategic Advisor role; sales consistent with pre-scheduled plan.</w:t>
            </w:r>
          </w:p>
        </w:tc>
      </w:tr>
      <w:tr>
        <w:tc>
          <w:tcPr>
            <w:tcW w:type="dxa" w:w="1440"/>
          </w:tcPr>
          <w:p>
            <w:r>
              <w:rPr>
                <w:rFonts w:ascii="Calibri" w:hAnsi="Calibri"/>
                <w:sz w:val="22"/>
              </w:rPr>
              <w:t>Matsumoto, Oki</w:t>
            </w:r>
          </w:p>
        </w:tc>
        <w:tc>
          <w:tcPr>
            <w:tcW w:type="dxa" w:w="1440"/>
          </w:tcPr>
          <w:p>
            <w:r>
              <w:rPr>
                <w:rFonts w:ascii="Calibri" w:hAnsi="Calibri"/>
                <w:sz w:val="22"/>
              </w:rPr>
              <w:t>Director</w:t>
            </w:r>
          </w:p>
        </w:tc>
        <w:tc>
          <w:tcPr>
            <w:tcW w:type="dxa" w:w="1440"/>
          </w:tcPr>
          <w:p>
            <w:r>
              <w:rPr>
                <w:rFonts w:ascii="Calibri" w:hAnsi="Calibri"/>
                <w:sz w:val="22"/>
              </w:rPr>
              <w:t>Tax Withholding (F-code)</w:t>
            </w:r>
          </w:p>
        </w:tc>
        <w:tc>
          <w:tcPr>
            <w:tcW w:type="dxa" w:w="1440"/>
          </w:tcPr>
          <w:p>
            <w:r>
              <w:rPr>
                <w:rFonts w:ascii="Calibri" w:hAnsi="Calibri"/>
                <w:sz w:val="22"/>
              </w:rPr>
              <w:t>98 shares</w:t>
            </w:r>
          </w:p>
        </w:tc>
        <w:tc>
          <w:tcPr>
            <w:tcW w:type="dxa" w:w="1440"/>
          </w:tcPr>
          <w:p>
            <w:r>
              <w:rPr>
                <w:rFonts w:ascii="Calibri" w:hAnsi="Calibri"/>
                <w:sz w:val="22"/>
              </w:rPr>
              <w:t>Jun 21, 2026</w:t>
            </w:r>
          </w:p>
        </w:tc>
        <w:tc>
          <w:tcPr>
            <w:tcW w:type="dxa" w:w="1440"/>
          </w:tcPr>
          <w:p>
            <w:r>
              <w:rPr>
                <w:rFonts w:ascii="Calibri" w:hAnsi="Calibri"/>
                <w:sz w:val="22"/>
              </w:rPr>
              <w:t>Shares withheld for tax on RSU vesting; obligation-driven, not discretionary.</w:t>
            </w:r>
          </w:p>
        </w:tc>
      </w:tr>
      <w:tr>
        <w:tc>
          <w:tcPr>
            <w:tcW w:type="dxa" w:w="1440"/>
          </w:tcPr>
          <w:p>
            <w:r>
              <w:rPr>
                <w:rFonts w:ascii="Calibri" w:hAnsi="Calibri"/>
                <w:sz w:val="22"/>
              </w:rPr>
              <w:t>Qureshi, Rima</w:t>
            </w:r>
          </w:p>
        </w:tc>
        <w:tc>
          <w:tcPr>
            <w:tcW w:type="dxa" w:w="1440"/>
          </w:tcPr>
          <w:p>
            <w:r>
              <w:rPr>
                <w:rFonts w:ascii="Calibri" w:hAnsi="Calibri"/>
                <w:sz w:val="22"/>
              </w:rPr>
              <w:t>Director</w:t>
            </w:r>
          </w:p>
        </w:tc>
        <w:tc>
          <w:tcPr>
            <w:tcW w:type="dxa" w:w="1440"/>
          </w:tcPr>
          <w:p>
            <w:r>
              <w:rPr>
                <w:rFonts w:ascii="Calibri" w:hAnsi="Calibri"/>
                <w:sz w:val="22"/>
              </w:rPr>
              <w:t>Tax Withholding (F-code)</w:t>
            </w:r>
          </w:p>
        </w:tc>
        <w:tc>
          <w:tcPr>
            <w:tcW w:type="dxa" w:w="1440"/>
          </w:tcPr>
          <w:p>
            <w:r>
              <w:rPr>
                <w:rFonts w:ascii="Calibri" w:hAnsi="Calibri"/>
                <w:sz w:val="22"/>
              </w:rPr>
              <w:t>1,641 shares</w:t>
            </w:r>
          </w:p>
        </w:tc>
        <w:tc>
          <w:tcPr>
            <w:tcW w:type="dxa" w:w="1440"/>
          </w:tcPr>
          <w:p>
            <w:r>
              <w:rPr>
                <w:rFonts w:ascii="Calibri" w:hAnsi="Calibri"/>
                <w:sz w:val="22"/>
              </w:rPr>
              <w:t>Jun 16, 2026</w:t>
            </w:r>
          </w:p>
        </w:tc>
        <w:tc>
          <w:tcPr>
            <w:tcW w:type="dxa" w:w="1440"/>
          </w:tcPr>
          <w:p>
            <w:r>
              <w:rPr>
                <w:rFonts w:ascii="Calibri" w:hAnsi="Calibri"/>
                <w:sz w:val="22"/>
              </w:rPr>
              <w:t>Shares withheld for tax on RSU vesting; obligation-driven, not discretionary.</w:t>
            </w:r>
          </w:p>
        </w:tc>
      </w:tr>
      <w:tr>
        <w:tc>
          <w:tcPr>
            <w:tcW w:type="dxa" w:w="1440"/>
          </w:tcPr>
          <w:p>
            <w:r>
              <w:rPr>
                <w:rFonts w:ascii="Calibri" w:hAnsi="Calibri"/>
                <w:sz w:val="22"/>
              </w:rPr>
              <w:t>Multiple Directors (Bracher, Davis, Genachowski, Goh, Janow, Matsumoto, Moon, Sulzberger, Talwar, Uggla)</w:t>
            </w:r>
          </w:p>
        </w:tc>
        <w:tc>
          <w:tcPr>
            <w:tcW w:type="dxa" w:w="1440"/>
          </w:tcPr>
          <w:p>
            <w:r>
              <w:rPr>
                <w:rFonts w:ascii="Calibri" w:hAnsi="Calibri"/>
                <w:sz w:val="22"/>
              </w:rPr>
              <w:t>Directors</w:t>
            </w:r>
          </w:p>
        </w:tc>
        <w:tc>
          <w:tcPr>
            <w:tcW w:type="dxa" w:w="1440"/>
          </w:tcPr>
          <w:p>
            <w:r>
              <w:rPr>
                <w:rFonts w:ascii="Calibri" w:hAnsi="Calibri"/>
                <w:sz w:val="22"/>
              </w:rPr>
              <w:t>Equity Award Grant (A-code)</w:t>
            </w:r>
          </w:p>
        </w:tc>
        <w:tc>
          <w:tcPr>
            <w:tcW w:type="dxa" w:w="1440"/>
          </w:tcPr>
          <w:p>
            <w:r>
              <w:rPr>
                <w:rFonts w:ascii="Calibri" w:hAnsi="Calibri"/>
                <w:sz w:val="22"/>
              </w:rPr>
              <w:t>509-684 shares each</w:t>
            </w:r>
          </w:p>
        </w:tc>
        <w:tc>
          <w:tcPr>
            <w:tcW w:type="dxa" w:w="1440"/>
          </w:tcPr>
          <w:p>
            <w:r>
              <w:rPr>
                <w:rFonts w:ascii="Calibri" w:hAnsi="Calibri"/>
                <w:sz w:val="22"/>
              </w:rPr>
              <w:t>Jun 16, 2026</w:t>
            </w:r>
          </w:p>
        </w:tc>
        <w:tc>
          <w:tcPr>
            <w:tcW w:type="dxa" w:w="1440"/>
          </w:tcPr>
          <w:p>
            <w:r>
              <w:rPr>
                <w:rFonts w:ascii="Calibri" w:hAnsi="Calibri"/>
                <w:sz w:val="22"/>
              </w:rPr>
              <w:t>Annual director equity compensation grants; routine, non-discretionary.</w:t>
            </w:r>
          </w:p>
        </w:tc>
      </w:tr>
    </w:tbl>
    <w:p>
      <w:r>
        <w:rPr>
          <w:rFonts w:ascii="Calibri" w:hAnsi="Calibri"/>
          <w:i/>
          <w:color w:val="525866"/>
          <w:sz w:val="22"/>
        </w:rPr>
        <w:t>Source: SEC Form 4 filings. All transactions flagged as 10b5-1 plan (overall_10b5 = True) for executive officers. Director grants (A-code) are routine annual equity compensation. No open-market discretionary buys or sells from any senior executive or director since Q1 earnings. The absence of any open-market buying is not unusual given the stock's strong run (+12% since earnings) and the proximity to the earnings blackout window.</w:t>
      </w:r>
    </w:p>
    <w:p>
      <w:r>
        <w:rPr>
          <w:rFonts w:ascii="Calibri" w:hAnsi="Calibri"/>
          <w:i/>
          <w:color w:val="525866"/>
          <w:sz w:val="22"/>
        </w:rPr>
        <w:t>— End of Earnings Preview —</w:t>
      </w:r>
    </w:p>
    <w:p>
      <w:r>
        <w:rPr>
          <w:rFonts w:ascii="Calibri" w:hAnsi="Calibri"/>
          <w:b/>
          <w:color w:val="525866"/>
          <w:sz w:val="22"/>
        </w:rPr>
        <w:t xml:space="preserve">Disclaimer: </w:t>
      </w:r>
      <w:r>
        <w:rPr>
          <w:rFonts w:ascii="Calibri" w:hAnsi="Calibri"/>
          <w:color w:val="525866"/>
          <w:sz w:val="22"/>
        </w:rPr>
        <w:t>This earnings preview is prepared for informational purposes only. All financial data sourced from Visible Alpha Consensus and Actuals Data, SEC Form 4 filings, and company earnings call transcripts. Consensus estimates as of July 29, 2026. Past beat/miss history is not indicative of future results. Stock price data sourced from Yahoo Finance.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