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Mastercard Incorporated (MA)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Mastercard Incorporated</w:t>
            </w:r>
          </w:p>
        </w:tc>
      </w:tr>
      <w:tr>
        <w:tc>
          <w:tcPr>
            <w:tcW w:type="dxa" w:w="4320"/>
          </w:tcPr>
          <w:p>
            <w:r>
              <w:rPr>
                <w:rFonts w:ascii="Calibri" w:hAnsi="Calibri"/>
                <w:b/>
                <w:sz w:val="22"/>
              </w:rPr>
              <w:t>Ticker</w:t>
            </w:r>
          </w:p>
        </w:tc>
        <w:tc>
          <w:tcPr>
            <w:tcW w:type="dxa" w:w="4320"/>
          </w:tcPr>
          <w:p>
            <w:r>
              <w:rPr>
                <w:rFonts w:ascii="Calibri" w:hAnsi="Calibri"/>
                <w:sz w:val="22"/>
              </w:rPr>
              <w:t>MA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9:00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r>
        <w:tc>
          <w:tcPr>
            <w:tcW w:type="dxa" w:w="4320"/>
          </w:tcPr>
          <w:p>
            <w:r>
              <w:rPr>
                <w:rFonts w:ascii="Calibri" w:hAnsi="Calibri"/>
                <w:b/>
                <w:sz w:val="22"/>
              </w:rPr>
              <w:t>Sector ETF (Benchmark)</w:t>
            </w:r>
          </w:p>
        </w:tc>
        <w:tc>
          <w:tcPr>
            <w:tcW w:type="dxa" w:w="4320"/>
          </w:tcPr>
          <w:p>
            <w:r>
              <w:rPr>
                <w:rFonts w:ascii="Calibri" w:hAnsi="Calibri"/>
                <w:sz w:val="22"/>
              </w:rPr>
              <w:t>IPAY (ETF Managers Group Mobile Payments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sits at a manageable bar and the biggest swing factor is whether cross-border travel has recovered faster than the Middle East conflict headwind embedded in guidance implies.</w:t>
      </w:r>
    </w:p>
    <w:p>
      <w:r>
        <w:rPr>
          <w:rFonts w:ascii="Calibri" w:hAnsi="Calibri"/>
          <w:color w:val="525866"/>
          <w:sz w:val="22"/>
        </w:rPr>
        <w:t xml:space="preserve">Heading into the Q2 2026 print, Mastercard faces a consensus bar that was deliberately set at the </w:t>
      </w:r>
      <w:r>
        <w:rPr>
          <w:rFonts w:ascii="Calibri" w:hAnsi="Calibri"/>
          <w:b/>
          <w:color w:val="525866"/>
          <w:sz w:val="22"/>
        </w:rPr>
        <w:t>low end of low double-digit currency-neutral revenue growth</w:t>
      </w:r>
      <w:r>
        <w:rPr>
          <w:rFonts w:ascii="Calibri" w:hAnsi="Calibri"/>
          <w:color w:val="525866"/>
          <w:sz w:val="22"/>
        </w:rPr>
        <w:t xml:space="preserve"> — management's own guidance language — with the Middle East conflict explicitly cited as the primary drag on cross-border travel. Peer data from Visa (reported July 28) shows cross-border travel volume up 10% in the April–June quarter and total cross-border ex-Intra-Europe up 12%, while American Express reported global travel bookings up 22% YoY in Q2, both suggesting the travel environment was healthier than feared. Management's own post-earnings commentary through mid-May confirmed trends were "stable to slightly better" across metrics, and the FIFA World Cup (June 11–30) provided an incremental boost to inbound North America and Latin America cross-border volumes that was not in original guidance. On the estimate trajectory, the diluted operating EPS consensus has been remarkably stable since last earnings — hovering around $4.74–$4.77 — suggesting the street has not aggressively revised up despite the improving data, leaving room for a positive surprise. The stock has recovered sharply from its post-Q1 dip (down ~3% on April 30 on the Middle East travel disclosure) and is now up roughly </w:t>
      </w:r>
      <w:r>
        <w:rPr>
          <w:rFonts w:ascii="Calibri" w:hAnsi="Calibri"/>
          <w:b/>
          <w:color w:val="525866"/>
          <w:sz w:val="22"/>
        </w:rPr>
        <w:t>+12% since last earnings</w:t>
      </w:r>
      <w:r>
        <w:rPr>
          <w:rFonts w:ascii="Calibri" w:hAnsi="Calibri"/>
          <w:color w:val="525866"/>
          <w:sz w:val="22"/>
        </w:rPr>
        <w:t xml:space="preserve">, trading at approximately 26x NTM P/E — a multiple that prices in solid execution but not a blowout. The key wildcard is the </w:t>
      </w:r>
      <w:r>
        <w:rPr>
          <w:rFonts w:ascii="Calibri" w:hAnsi="Calibri"/>
          <w:b/>
          <w:color w:val="525866"/>
          <w:sz w:val="22"/>
        </w:rPr>
        <w:t>pace of cross-border travel recovery in the GCC/Israel corridor</w:t>
      </w:r>
      <w:r>
        <w:rPr>
          <w:rFonts w:ascii="Calibri" w:hAnsi="Calibri"/>
          <w:color w:val="525866"/>
          <w:sz w:val="22"/>
        </w:rPr>
        <w:t xml:space="preserve"> and whether management raises or holds full-year currency-neutral guidance, which on a CN basis has been unchanged since the start of the year.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sits at a manageable bar on all key metrics, with cross-border volume growth the bigger swing factor — guidance implied ~10–11% CC growth and peer data from Visa suggests the actual may come in at or above that level. VASS revenue is the secondary swing factor, where 18% CN organic growth in Q1 sets a high but achievable baseline.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(Q1 Earnings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$8.40B</w:t>
            </w:r>
          </w:p>
        </w:tc>
        <w:tc>
          <w:tcPr>
            <w:tcW w:type="dxa" w:w="1234"/>
          </w:tcPr>
          <w:p>
            <w:r>
              <w:rPr>
                <w:rFonts w:ascii="Calibri" w:hAnsi="Calibri"/>
                <w:sz w:val="22"/>
              </w:rPr>
              <w:t>$8.13B</w:t>
            </w:r>
          </w:p>
        </w:tc>
        <w:tc>
          <w:tcPr>
            <w:tcW w:type="dxa" w:w="1234"/>
          </w:tcPr>
          <w:p>
            <w:r>
              <w:rPr>
                <w:rFonts w:ascii="Calibri" w:hAnsi="Calibri"/>
                <w:sz w:val="22"/>
              </w:rPr>
              <w:t>$9.08B</w:t>
            </w:r>
          </w:p>
        </w:tc>
        <w:tc>
          <w:tcPr>
            <w:tcW w:type="dxa" w:w="1234"/>
          </w:tcPr>
          <w:p>
            <w:r>
              <w:rPr>
                <w:rFonts w:ascii="Calibri" w:hAnsi="Calibri"/>
                <w:sz w:val="22"/>
              </w:rPr>
              <w:t>+11.7%</w:t>
            </w:r>
          </w:p>
        </w:tc>
        <w:tc>
          <w:tcPr>
            <w:tcW w:type="dxa" w:w="1234"/>
          </w:tcPr>
          <w:p>
            <w:r>
              <w:rPr>
                <w:rFonts w:ascii="Calibri" w:hAnsi="Calibri"/>
                <w:sz w:val="22"/>
              </w:rPr>
              <w:t>Low end of low double-digits CN (ex-inorganic); +1–2 ppt FX tailwind</w:t>
            </w:r>
          </w:p>
        </w:tc>
        <w:tc>
          <w:tcPr>
            <w:tcW w:type="dxa" w:w="1234"/>
          </w:tcPr>
          <w:p>
            <w:r>
              <w:rPr>
                <w:rFonts w:ascii="Calibri" w:hAnsi="Calibri"/>
                <w:sz w:val="22"/>
              </w:rPr>
              <w:t>In line with guidance midpoint</w:t>
            </w:r>
          </w:p>
        </w:tc>
      </w:tr>
      <w:tr>
        <w:tc>
          <w:tcPr>
            <w:tcW w:type="dxa" w:w="1234"/>
          </w:tcPr>
          <w:p>
            <w:r>
              <w:rPr>
                <w:rFonts w:ascii="Calibri" w:hAnsi="Calibri"/>
                <w:sz w:val="22"/>
              </w:rPr>
              <w:t>EPS — Diluted Operating ($)</w:t>
            </w:r>
          </w:p>
        </w:tc>
        <w:tc>
          <w:tcPr>
            <w:tcW w:type="dxa" w:w="1234"/>
          </w:tcPr>
          <w:p>
            <w:r>
              <w:rPr>
                <w:rFonts w:ascii="Calibri" w:hAnsi="Calibri"/>
                <w:sz w:val="22"/>
              </w:rPr>
              <w:t>$4.60</w:t>
            </w:r>
          </w:p>
        </w:tc>
        <w:tc>
          <w:tcPr>
            <w:tcW w:type="dxa" w:w="1234"/>
          </w:tcPr>
          <w:p>
            <w:r>
              <w:rPr>
                <w:rFonts w:ascii="Calibri" w:hAnsi="Calibri"/>
                <w:sz w:val="22"/>
              </w:rPr>
              <w:t>$4.15</w:t>
            </w:r>
          </w:p>
        </w:tc>
        <w:tc>
          <w:tcPr>
            <w:tcW w:type="dxa" w:w="1234"/>
          </w:tcPr>
          <w:p>
            <w:r>
              <w:rPr>
                <w:rFonts w:ascii="Calibri" w:hAnsi="Calibri"/>
                <w:sz w:val="22"/>
              </w:rPr>
              <w:t>$4.77</w:t>
            </w:r>
          </w:p>
        </w:tc>
        <w:tc>
          <w:tcPr>
            <w:tcW w:type="dxa" w:w="1234"/>
          </w:tcPr>
          <w:p>
            <w:r>
              <w:rPr>
                <w:rFonts w:ascii="Calibri" w:hAnsi="Calibri"/>
                <w:sz w:val="22"/>
              </w:rPr>
              <w:t>+15.0%</w:t>
            </w:r>
          </w:p>
        </w:tc>
        <w:tc>
          <w:tcPr>
            <w:tcW w:type="dxa" w:w="1234"/>
          </w:tcPr>
          <w:p>
            <w:r>
              <w:rPr>
                <w:rFonts w:ascii="Calibri" w:hAnsi="Calibri"/>
                <w:sz w:val="22"/>
              </w:rPr>
              <w:t>Non-GAAP tax rate 20–21%; OI&amp;E expense ~$150M</w:t>
            </w:r>
          </w:p>
        </w:tc>
        <w:tc>
          <w:tcPr>
            <w:tcW w:type="dxa" w:w="1234"/>
          </w:tcPr>
          <w:p>
            <w:r>
              <w:rPr>
                <w:rFonts w:ascii="Calibri" w:hAnsi="Calibri"/>
                <w:sz w:val="22"/>
              </w:rPr>
              <w:t>Consistent with implied range</w:t>
            </w:r>
          </w:p>
        </w:tc>
      </w:tr>
      <w:tr>
        <w:tc>
          <w:tcPr>
            <w:tcW w:type="dxa" w:w="1234"/>
          </w:tcPr>
          <w:p>
            <w:r>
              <w:rPr>
                <w:rFonts w:ascii="Calibri" w:hAnsi="Calibri"/>
                <w:sz w:val="22"/>
              </w:rPr>
              <w:t>VASS Revenue ($B)</w:t>
            </w:r>
          </w:p>
        </w:tc>
        <w:tc>
          <w:tcPr>
            <w:tcW w:type="dxa" w:w="1234"/>
          </w:tcPr>
          <w:p>
            <w:r>
              <w:rPr>
                <w:rFonts w:ascii="Calibri" w:hAnsi="Calibri"/>
                <w:sz w:val="22"/>
              </w:rPr>
              <w:t>$3.45B</w:t>
            </w:r>
          </w:p>
        </w:tc>
        <w:tc>
          <w:tcPr>
            <w:tcW w:type="dxa" w:w="1234"/>
          </w:tcPr>
          <w:p>
            <w:r>
              <w:rPr>
                <w:rFonts w:ascii="Calibri" w:hAnsi="Calibri"/>
                <w:sz w:val="22"/>
              </w:rPr>
              <w:t>$3.19B</w:t>
            </w:r>
          </w:p>
        </w:tc>
        <w:tc>
          <w:tcPr>
            <w:tcW w:type="dxa" w:w="1234"/>
          </w:tcPr>
          <w:p>
            <w:r>
              <w:rPr>
                <w:rFonts w:ascii="Calibri" w:hAnsi="Calibri"/>
                <w:sz w:val="22"/>
              </w:rPr>
              <w:t>$3.74B</w:t>
            </w:r>
          </w:p>
        </w:tc>
        <w:tc>
          <w:tcPr>
            <w:tcW w:type="dxa" w:w="1234"/>
          </w:tcPr>
          <w:p>
            <w:r>
              <w:rPr>
                <w:rFonts w:ascii="Calibri" w:hAnsi="Calibri"/>
                <w:sz w:val="22"/>
              </w:rPr>
              <w:t>+17.3%</w:t>
            </w:r>
          </w:p>
        </w:tc>
        <w:tc>
          <w:tcPr>
            <w:tcW w:type="dxa" w:w="1234"/>
          </w:tcPr>
          <w:p>
            <w:r>
              <w:rPr>
                <w:rFonts w:ascii="Calibri" w:hAnsi="Calibri"/>
                <w:sz w:val="22"/>
              </w:rPr>
              <w:t>Continued strong demand; ~40% of total revenue</w:t>
            </w:r>
          </w:p>
        </w:tc>
        <w:tc>
          <w:tcPr>
            <w:tcW w:type="dxa" w:w="1234"/>
          </w:tcPr>
          <w:p>
            <w:r>
              <w:rPr>
                <w:rFonts w:ascii="Calibri" w:hAnsi="Calibri"/>
                <w:sz w:val="22"/>
              </w:rPr>
              <w:t>Slightly below Q1 as-of estimate; broadly in line</w:t>
            </w:r>
          </w:p>
        </w:tc>
      </w:tr>
      <w:tr>
        <w:tc>
          <w:tcPr>
            <w:tcW w:type="dxa" w:w="1234"/>
          </w:tcPr>
          <w:p>
            <w:r>
              <w:rPr>
                <w:rFonts w:ascii="Calibri" w:hAnsi="Calibri"/>
                <w:sz w:val="22"/>
              </w:rPr>
              <w:t>Cross-Border Volume Growth (CC %)</w:t>
            </w:r>
          </w:p>
        </w:tc>
        <w:tc>
          <w:tcPr>
            <w:tcW w:type="dxa" w:w="1234"/>
          </w:tcPr>
          <w:p>
            <w:r>
              <w:rPr>
                <w:rFonts w:ascii="Calibri" w:hAnsi="Calibri"/>
                <w:sz w:val="22"/>
              </w:rPr>
              <w:t>+13%</w:t>
            </w:r>
          </w:p>
        </w:tc>
        <w:tc>
          <w:tcPr>
            <w:tcW w:type="dxa" w:w="1234"/>
          </w:tcPr>
          <w:p>
            <w:r>
              <w:rPr>
                <w:rFonts w:ascii="Calibri" w:hAnsi="Calibri"/>
                <w:sz w:val="22"/>
              </w:rPr>
              <w:t>+15%</w:t>
            </w:r>
          </w:p>
        </w:tc>
        <w:tc>
          <w:tcPr>
            <w:tcW w:type="dxa" w:w="1234"/>
          </w:tcPr>
          <w:p>
            <w:r>
              <w:rPr>
                <w:rFonts w:ascii="Calibri" w:hAnsi="Calibri"/>
                <w:sz w:val="22"/>
              </w:rPr>
              <w:t>~+10.9%</w:t>
            </w:r>
          </w:p>
        </w:tc>
        <w:tc>
          <w:tcPr>
            <w:tcW w:type="dxa" w:w="1234"/>
          </w:tcPr>
          <w:p>
            <w:r>
              <w:rPr>
                <w:rFonts w:ascii="Calibri" w:hAnsi="Calibri"/>
                <w:sz w:val="22"/>
              </w:rPr>
              <w:t>−24 bps vs. PY</w:t>
            </w:r>
          </w:p>
        </w:tc>
        <w:tc>
          <w:tcPr>
            <w:tcW w:type="dxa" w:w="1234"/>
          </w:tcPr>
          <w:p>
            <w:r>
              <w:rPr>
                <w:rFonts w:ascii="Calibri" w:hAnsi="Calibri"/>
                <w:sz w:val="22"/>
              </w:rPr>
              <w:t>Headwind from Middle East conflict; toughest FX comp of year</w:t>
            </w:r>
          </w:p>
        </w:tc>
        <w:tc>
          <w:tcPr>
            <w:tcW w:type="dxa" w:w="1234"/>
          </w:tcPr>
          <w:p>
            <w:r>
              <w:rPr>
                <w:rFonts w:ascii="Calibri" w:hAnsi="Calibri"/>
                <w:sz w:val="22"/>
              </w:rPr>
              <w:t>Consensus at low end; upside risk from FIFA/travel recovery</w:t>
            </w:r>
          </w:p>
        </w:tc>
      </w:tr>
      <w:tr>
        <w:tc>
          <w:tcPr>
            <w:tcW w:type="dxa" w:w="1234"/>
          </w:tcPr>
          <w:p>
            <w:r>
              <w:rPr>
                <w:rFonts w:ascii="Calibri" w:hAnsi="Calibri"/>
                <w:sz w:val="22"/>
              </w:rPr>
              <w:t>Switched Transactions Growth (adj. Venezuela, %)</w:t>
            </w:r>
          </w:p>
        </w:tc>
        <w:tc>
          <w:tcPr>
            <w:tcW w:type="dxa" w:w="1234"/>
          </w:tcPr>
          <w:p>
            <w:r>
              <w:rPr>
                <w:rFonts w:ascii="Calibri" w:hAnsi="Calibri"/>
                <w:sz w:val="22"/>
              </w:rPr>
              <w:t>+9.2%</w:t>
            </w:r>
          </w:p>
        </w:tc>
        <w:tc>
          <w:tcPr>
            <w:tcW w:type="dxa" w:w="1234"/>
          </w:tcPr>
          <w:p>
            <w:r>
              <w:rPr>
                <w:rFonts w:ascii="Calibri" w:hAnsi="Calibri"/>
                <w:sz w:val="22"/>
              </w:rPr>
              <w:t>+10.4%</w:t>
            </w:r>
          </w:p>
        </w:tc>
        <w:tc>
          <w:tcPr>
            <w:tcW w:type="dxa" w:w="1234"/>
          </w:tcPr>
          <w:p>
            <w:r>
              <w:rPr>
                <w:rFonts w:ascii="Calibri" w:hAnsi="Calibri"/>
                <w:sz w:val="22"/>
              </w:rPr>
              <w:t>~+9.6%</w:t>
            </w:r>
          </w:p>
        </w:tc>
        <w:tc>
          <w:tcPr>
            <w:tcW w:type="dxa" w:w="1234"/>
          </w:tcPr>
          <w:p>
            <w:r>
              <w:rPr>
                <w:rFonts w:ascii="Calibri" w:hAnsi="Calibri"/>
                <w:sz w:val="22"/>
              </w:rPr>
              <w:t>−78 bps vs. PY</w:t>
            </w:r>
          </w:p>
        </w:tc>
        <w:tc>
          <w:tcPr>
            <w:tcW w:type="dxa" w:w="1234"/>
          </w:tcPr>
          <w:p>
            <w:r>
              <w:rPr>
                <w:rFonts w:ascii="Calibri" w:hAnsi="Calibri"/>
                <w:sz w:val="22"/>
              </w:rPr>
              <w:t>No explicit guidance; implied by revenue guide</w:t>
            </w:r>
          </w:p>
        </w:tc>
        <w:tc>
          <w:tcPr>
            <w:tcW w:type="dxa" w:w="1234"/>
          </w:tcPr>
          <w:p>
            <w:r>
              <w:rPr>
                <w:rFonts w:ascii="Calibri" w:hAnsi="Calibri"/>
                <w:sz w:val="22"/>
              </w:rPr>
              <w:t>Slight deceleration vs. Q1; in line with trend</w:t>
            </w:r>
          </w:p>
        </w:tc>
      </w:tr>
    </w:tbl>
    <w:p>
      <w:r>
        <w:rPr>
          <w:rFonts w:ascii="Calibri" w:hAnsi="Calibri"/>
          <w:color w:val="525866"/>
          <w:sz w:val="22"/>
        </w:rPr>
        <w:t>Sources: Visible Alpha Consensus and Actuals Data (Net Revenue, EPS — Diluted Operating, VASS Revenue, Cross-Border Volume CC%, Switched Transactions Growth). All consensus figures as of July 29,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$6.96B</w:t>
            </w:r>
          </w:p>
        </w:tc>
        <w:tc>
          <w:tcPr>
            <w:tcW w:type="dxa" w:w="1728"/>
          </w:tcPr>
          <w:p>
            <w:r>
              <w:rPr>
                <w:rFonts w:ascii="Calibri" w:hAnsi="Calibri"/>
                <w:sz w:val="22"/>
              </w:rPr>
              <w:t>$6.85B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$7.37B</w:t>
            </w:r>
          </w:p>
        </w:tc>
        <w:tc>
          <w:tcPr>
            <w:tcW w:type="dxa" w:w="1728"/>
          </w:tcPr>
          <w:p>
            <w:r>
              <w:rPr>
                <w:rFonts w:ascii="Calibri" w:hAnsi="Calibri"/>
                <w:sz w:val="22"/>
              </w:rPr>
              <w:t>$7.26B</w:t>
            </w:r>
          </w:p>
        </w:tc>
        <w:tc>
          <w:tcPr>
            <w:tcW w:type="dxa" w:w="1728"/>
          </w:tcPr>
          <w:p>
            <w:r>
              <w:rPr>
                <w:rFonts w:ascii="Calibri" w:hAnsi="Calibri"/>
                <w:b/>
                <w:color w:val="30A46C"/>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$7.49B</w:t>
            </w:r>
          </w:p>
        </w:tc>
        <w:tc>
          <w:tcPr>
            <w:tcW w:type="dxa" w:w="1728"/>
          </w:tcPr>
          <w:p>
            <w:r>
              <w:rPr>
                <w:rFonts w:ascii="Calibri" w:hAnsi="Calibri"/>
                <w:sz w:val="22"/>
              </w:rPr>
              <w:t>$7.39B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$7.25B</w:t>
            </w:r>
          </w:p>
        </w:tc>
        <w:tc>
          <w:tcPr>
            <w:tcW w:type="dxa" w:w="1728"/>
          </w:tcPr>
          <w:p>
            <w:r>
              <w:rPr>
                <w:rFonts w:ascii="Calibri" w:hAnsi="Calibri"/>
                <w:sz w:val="22"/>
              </w:rPr>
              <w:t>$7.12B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$8.13B</w:t>
            </w:r>
          </w:p>
        </w:tc>
        <w:tc>
          <w:tcPr>
            <w:tcW w:type="dxa" w:w="1728"/>
          </w:tcPr>
          <w:p>
            <w:r>
              <w:rPr>
                <w:rFonts w:ascii="Calibri" w:hAnsi="Calibri"/>
                <w:sz w:val="22"/>
              </w:rPr>
              <w:t>$7.97B</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$8.60B</w:t>
            </w:r>
          </w:p>
        </w:tc>
        <w:tc>
          <w:tcPr>
            <w:tcW w:type="dxa" w:w="1728"/>
          </w:tcPr>
          <w:p>
            <w:r>
              <w:rPr>
                <w:rFonts w:ascii="Calibri" w:hAnsi="Calibri"/>
                <w:sz w:val="22"/>
              </w:rPr>
              <w:t>$8.53B</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$8.81B</w:t>
            </w:r>
          </w:p>
        </w:tc>
        <w:tc>
          <w:tcPr>
            <w:tcW w:type="dxa" w:w="1728"/>
          </w:tcPr>
          <w:p>
            <w:r>
              <w:rPr>
                <w:rFonts w:ascii="Calibri" w:hAnsi="Calibri"/>
                <w:sz w:val="22"/>
              </w:rPr>
              <w:t>$8.77B</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$8.40B</w:t>
            </w:r>
          </w:p>
        </w:tc>
        <w:tc>
          <w:tcPr>
            <w:tcW w:type="dxa" w:w="1728"/>
          </w:tcPr>
          <w:p>
            <w:r>
              <w:rPr>
                <w:rFonts w:ascii="Calibri" w:hAnsi="Calibri"/>
                <w:sz w:val="22"/>
              </w:rPr>
              <w:t>$8.25B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bl>
    <w:p>
      <w:pPr>
        <w:pStyle w:val="Heading3"/>
      </w:pPr>
      <w:r>
        <w:rPr>
          <w:rFonts w:ascii="Calibri" w:hAnsi="Calibri"/>
          <w:b/>
          <w:color w:val="3B4259"/>
          <w:sz w:val="24"/>
        </w:rPr>
        <w:t>Top 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$3.59</w:t>
            </w:r>
          </w:p>
        </w:tc>
        <w:tc>
          <w:tcPr>
            <w:tcW w:type="dxa" w:w="1728"/>
          </w:tcPr>
          <w:p>
            <w:r>
              <w:rPr>
                <w:rFonts w:ascii="Calibri" w:hAnsi="Calibri"/>
                <w:sz w:val="22"/>
              </w:rPr>
              <w:t>$3.52</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$3.88</w:t>
            </w:r>
          </w:p>
        </w:tc>
        <w:tc>
          <w:tcPr>
            <w:tcW w:type="dxa" w:w="1728"/>
          </w:tcPr>
          <w:p>
            <w:r>
              <w:rPr>
                <w:rFonts w:ascii="Calibri" w:hAnsi="Calibri"/>
                <w:sz w:val="22"/>
              </w:rPr>
              <w:t>$3.73</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$3.82</w:t>
            </w:r>
          </w:p>
        </w:tc>
        <w:tc>
          <w:tcPr>
            <w:tcW w:type="dxa" w:w="1728"/>
          </w:tcPr>
          <w:p>
            <w:r>
              <w:rPr>
                <w:rFonts w:ascii="Calibri" w:hAnsi="Calibri"/>
                <w:sz w:val="22"/>
              </w:rPr>
              <w:t>$3.70</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$3.73</w:t>
            </w:r>
          </w:p>
        </w:tc>
        <w:tc>
          <w:tcPr>
            <w:tcW w:type="dxa" w:w="1728"/>
          </w:tcPr>
          <w:p>
            <w:r>
              <w:rPr>
                <w:rFonts w:ascii="Calibri" w:hAnsi="Calibri"/>
                <w:sz w:val="22"/>
              </w:rPr>
              <w:t>$3.57</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$4.15</w:t>
            </w:r>
          </w:p>
        </w:tc>
        <w:tc>
          <w:tcPr>
            <w:tcW w:type="dxa" w:w="1728"/>
          </w:tcPr>
          <w:p>
            <w:r>
              <w:rPr>
                <w:rFonts w:ascii="Calibri" w:hAnsi="Calibri"/>
                <w:sz w:val="22"/>
              </w:rPr>
              <w:t>$4.03</w:t>
            </w:r>
          </w:p>
        </w:tc>
        <w:tc>
          <w:tcPr>
            <w:tcW w:type="dxa" w:w="1728"/>
          </w:tcPr>
          <w:p>
            <w:r>
              <w:rPr>
                <w:rFonts w:ascii="Calibri" w:hAnsi="Calibri"/>
                <w:b/>
                <w:color w:val="30A46C"/>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$4.38</w:t>
            </w:r>
          </w:p>
        </w:tc>
        <w:tc>
          <w:tcPr>
            <w:tcW w:type="dxa" w:w="1728"/>
          </w:tcPr>
          <w:p>
            <w:r>
              <w:rPr>
                <w:rFonts w:ascii="Calibri" w:hAnsi="Calibri"/>
                <w:sz w:val="22"/>
              </w:rPr>
              <w:t>$4.32</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$4.76</w:t>
            </w:r>
          </w:p>
        </w:tc>
        <w:tc>
          <w:tcPr>
            <w:tcW w:type="dxa" w:w="1728"/>
          </w:tcPr>
          <w:p>
            <w:r>
              <w:rPr>
                <w:rFonts w:ascii="Calibri" w:hAnsi="Calibri"/>
                <w:sz w:val="22"/>
              </w:rPr>
              <w:t>$4.23</w:t>
            </w:r>
          </w:p>
        </w:tc>
        <w:tc>
          <w:tcPr>
            <w:tcW w:type="dxa" w:w="1728"/>
          </w:tcPr>
          <w:p>
            <w:r>
              <w:rPr>
                <w:rFonts w:ascii="Calibri" w:hAnsi="Calibri"/>
                <w:b/>
                <w:color w:val="30A46C"/>
                <w:sz w:val="22"/>
              </w:rPr>
              <w:t>+12.5%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$4.60</w:t>
            </w:r>
          </w:p>
        </w:tc>
        <w:tc>
          <w:tcPr>
            <w:tcW w:type="dxa" w:w="1728"/>
          </w:tcPr>
          <w:p>
            <w:r>
              <w:rPr>
                <w:rFonts w:ascii="Calibri" w:hAnsi="Calibri"/>
                <w:sz w:val="22"/>
              </w:rPr>
              <w:t>$4.40</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MA has beaten consensus on both Net Revenue and Operating EPS in each of the last 8 consecutive quarters, with revenue beats averaging ~1.7% and EPS beats averaging ~4.4% — a consistent pattern that sets a high bar for the street to set a truly conservative number.</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currency-neutral guidance has been held unchanged since the start of the year; the only post-Q1 update was CFO confirmation at the May 19 JP Morgan conference that trends through the first two weeks of May were "stable to slightly better" — no formal revision, but tone has incrementally improved.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Net Revenue Growth (CN, ex-inorganic)</w:t>
            </w:r>
          </w:p>
        </w:tc>
        <w:tc>
          <w:tcPr>
            <w:tcW w:type="dxa" w:w="1728"/>
          </w:tcPr>
          <w:p>
            <w:r>
              <w:rPr>
                <w:rFonts w:ascii="Calibri" w:hAnsi="Calibri"/>
                <w:sz w:val="22"/>
              </w:rPr>
              <w:t>Low end of low double-digits; +1–2 ppt FX tailwind</w:t>
            </w:r>
          </w:p>
        </w:tc>
        <w:tc>
          <w:tcPr>
            <w:tcW w:type="dxa" w:w="1728"/>
          </w:tcPr>
          <w:p>
            <w:r>
              <w:rPr>
                <w:rFonts w:ascii="Calibri" w:hAnsi="Calibri"/>
                <w:sz w:val="22"/>
              </w:rPr>
              <w:t>—</w:t>
            </w:r>
          </w:p>
        </w:tc>
        <w:tc>
          <w:tcPr>
            <w:tcW w:type="dxa" w:w="1728"/>
          </w:tcPr>
          <w:p>
            <w:r>
              <w:rPr>
                <w:rFonts w:ascii="Calibri" w:hAnsi="Calibri"/>
                <w:sz w:val="22"/>
              </w:rPr>
              <w:t>~+11.7% YoY reported; ~+10–11% CN implied</w:t>
            </w:r>
          </w:p>
        </w:tc>
        <w:tc>
          <w:tcPr>
            <w:tcW w:type="dxa" w:w="1728"/>
          </w:tcPr>
          <w:p>
            <w:r>
              <w:rPr>
                <w:rFonts w:ascii="Calibri" w:hAnsi="Calibri"/>
                <w:sz w:val="22"/>
              </w:rPr>
              <w:t>No revision. CFO confirmed May 19 trends "not outside expectations." FIFA World Cup (June 11–30) is an unguided upside factor.</w:t>
            </w:r>
          </w:p>
        </w:tc>
      </w:tr>
      <w:tr>
        <w:tc>
          <w:tcPr>
            <w:tcW w:type="dxa" w:w="1728"/>
          </w:tcPr>
          <w:p>
            <w:r>
              <w:rPr>
                <w:rFonts w:ascii="Calibri" w:hAnsi="Calibri"/>
                <w:sz w:val="22"/>
              </w:rPr>
              <w:t>Q2 Operating Expense Growth (CN, ex-inorganic)</w:t>
            </w:r>
          </w:p>
        </w:tc>
        <w:tc>
          <w:tcPr>
            <w:tcW w:type="dxa" w:w="1728"/>
          </w:tcPr>
          <w:p>
            <w:r>
              <w:rPr>
                <w:rFonts w:ascii="Calibri" w:hAnsi="Calibri"/>
                <w:sz w:val="22"/>
              </w:rPr>
              <w:t>Low end of low double-digits; 0–1 ppt FX headwind; 0–1 ppt benefit from SessionM disposition</w:t>
            </w:r>
          </w:p>
        </w:tc>
        <w:tc>
          <w:tcPr>
            <w:tcW w:type="dxa" w:w="1728"/>
          </w:tcPr>
          <w:p>
            <w:r>
              <w:rPr>
                <w:rFonts w:ascii="Calibri" w:hAnsi="Calibri"/>
                <w:sz w:val="22"/>
              </w:rPr>
              <w:t>—</w:t>
            </w:r>
          </w:p>
        </w:tc>
        <w:tc>
          <w:tcPr>
            <w:tcW w:type="dxa" w:w="1728"/>
          </w:tcPr>
          <w:p>
            <w:r>
              <w:rPr>
                <w:rFonts w:ascii="Calibri" w:hAnsi="Calibri"/>
                <w:sz w:val="22"/>
              </w:rPr>
              <w:t>Consistent with guidance range</w:t>
            </w:r>
          </w:p>
        </w:tc>
        <w:tc>
          <w:tcPr>
            <w:tcW w:type="dxa" w:w="1728"/>
          </w:tcPr>
          <w:p>
            <w:r>
              <w:rPr>
                <w:rFonts w:ascii="Calibri" w:hAnsi="Calibri"/>
                <w:sz w:val="22"/>
              </w:rPr>
              <w:t>No revision. SessionM disposition expected to close within Q2.</w:t>
            </w:r>
          </w:p>
        </w:tc>
      </w:tr>
      <w:tr>
        <w:tc>
          <w:tcPr>
            <w:tcW w:type="dxa" w:w="1728"/>
          </w:tcPr>
          <w:p>
            <w:r>
              <w:rPr>
                <w:rFonts w:ascii="Calibri" w:hAnsi="Calibri"/>
                <w:sz w:val="22"/>
              </w:rPr>
              <w:t>Q2 Other Income &amp; Expense</w:t>
            </w:r>
          </w:p>
        </w:tc>
        <w:tc>
          <w:tcPr>
            <w:tcW w:type="dxa" w:w="1728"/>
          </w:tcPr>
          <w:p>
            <w:r>
              <w:rPr>
                <w:rFonts w:ascii="Calibri" w:hAnsi="Calibri"/>
                <w:sz w:val="22"/>
              </w:rPr>
              <w:t>~$150M expense (ex-equity investment gains/losses)</w:t>
            </w:r>
          </w:p>
        </w:tc>
        <w:tc>
          <w:tcPr>
            <w:tcW w:type="dxa" w:w="1728"/>
          </w:tcPr>
          <w:p>
            <w:r>
              <w:rPr>
                <w:rFonts w:ascii="Calibri" w:hAnsi="Calibri"/>
                <w:sz w:val="22"/>
              </w:rPr>
              <w:t>—</w:t>
            </w:r>
          </w:p>
        </w:tc>
        <w:tc>
          <w:tcPr>
            <w:tcW w:type="dxa" w:w="1728"/>
          </w:tcPr>
          <w:p>
            <w:r>
              <w:rPr>
                <w:rFonts w:ascii="Calibri" w:hAnsi="Calibri"/>
                <w:sz w:val="22"/>
              </w:rPr>
              <w:t>~$150M</w:t>
            </w:r>
          </w:p>
        </w:tc>
        <w:tc>
          <w:tcPr>
            <w:tcW w:type="dxa" w:w="1728"/>
          </w:tcPr>
          <w:p>
            <w:r>
              <w:rPr>
                <w:rFonts w:ascii="Calibri" w:hAnsi="Calibri"/>
                <w:sz w:val="22"/>
              </w:rPr>
              <w:t>No revision. Higher sequentially vs. Q1 due to accelerated buybacks and one-time disposition impact.</w:t>
            </w:r>
          </w:p>
        </w:tc>
      </w:tr>
      <w:tr>
        <w:tc>
          <w:tcPr>
            <w:tcW w:type="dxa" w:w="1728"/>
          </w:tcPr>
          <w:p>
            <w:r>
              <w:rPr>
                <w:rFonts w:ascii="Calibri" w:hAnsi="Calibri"/>
                <w:sz w:val="22"/>
              </w:rPr>
              <w:t>Q2 Non-GAAP Tax Rate</w:t>
            </w:r>
          </w:p>
        </w:tc>
        <w:tc>
          <w:tcPr>
            <w:tcW w:type="dxa" w:w="1728"/>
          </w:tcPr>
          <w:p>
            <w:r>
              <w:rPr>
                <w:rFonts w:ascii="Calibri" w:hAnsi="Calibri"/>
                <w:sz w:val="22"/>
              </w:rPr>
              <w:t>20–21%</w:t>
            </w:r>
          </w:p>
        </w:tc>
        <w:tc>
          <w:tcPr>
            <w:tcW w:type="dxa" w:w="1728"/>
          </w:tcPr>
          <w:p>
            <w:r>
              <w:rPr>
                <w:rFonts w:ascii="Calibri" w:hAnsi="Calibri"/>
                <w:sz w:val="22"/>
              </w:rPr>
              <w:t>—</w:t>
            </w:r>
          </w:p>
        </w:tc>
        <w:tc>
          <w:tcPr>
            <w:tcW w:type="dxa" w:w="1728"/>
          </w:tcPr>
          <w:p>
            <w:r>
              <w:rPr>
                <w:rFonts w:ascii="Calibri" w:hAnsi="Calibri"/>
                <w:sz w:val="22"/>
              </w:rPr>
              <w:t>~20–21%</w:t>
            </w:r>
          </w:p>
        </w:tc>
        <w:tc>
          <w:tcPr>
            <w:tcW w:type="dxa" w:w="1728"/>
          </w:tcPr>
          <w:p>
            <w:r>
              <w:rPr>
                <w:rFonts w:ascii="Calibri" w:hAnsi="Calibri"/>
                <w:sz w:val="22"/>
              </w:rPr>
              <w:t>No revision.</w:t>
            </w:r>
          </w:p>
        </w:tc>
      </w:tr>
      <w:tr>
        <w:tc>
          <w:tcPr>
            <w:tcW w:type="dxa" w:w="1728"/>
          </w:tcPr>
          <w:p>
            <w:r>
              <w:rPr>
                <w:rFonts w:ascii="Calibri" w:hAnsi="Calibri"/>
                <w:sz w:val="22"/>
              </w:rPr>
              <w:t>FY 2026 Net Revenue Growth (CN, ex-inorganic)</w:t>
            </w:r>
          </w:p>
        </w:tc>
        <w:tc>
          <w:tcPr>
            <w:tcW w:type="dxa" w:w="1728"/>
          </w:tcPr>
          <w:p>
            <w:r>
              <w:rPr>
                <w:rFonts w:ascii="Calibri" w:hAnsi="Calibri"/>
                <w:sz w:val="22"/>
              </w:rPr>
              <w:t>High end of low double-digits; +1.5 ppt FX tailwind</w:t>
            </w:r>
          </w:p>
        </w:tc>
        <w:tc>
          <w:tcPr>
            <w:tcW w:type="dxa" w:w="1728"/>
          </w:tcPr>
          <w:p>
            <w:r>
              <w:rPr>
                <w:rFonts w:ascii="Calibri" w:hAnsi="Calibri"/>
                <w:sz w:val="22"/>
              </w:rPr>
              <w:t>—</w:t>
            </w:r>
          </w:p>
        </w:tc>
        <w:tc>
          <w:tcPr>
            <w:tcW w:type="dxa" w:w="1728"/>
          </w:tcPr>
          <w:p>
            <w:r>
              <w:rPr>
                <w:rFonts w:ascii="Calibri" w:hAnsi="Calibri"/>
                <w:sz w:val="22"/>
              </w:rPr>
              <w:t>~+12.0% YoY reported implied by $37.1B consensus</w:t>
            </w:r>
          </w:p>
        </w:tc>
        <w:tc>
          <w:tcPr>
            <w:tcW w:type="dxa" w:w="1728"/>
          </w:tcPr>
          <w:p>
            <w:r>
              <w:rPr>
                <w:rFonts w:ascii="Calibri" w:hAnsi="Calibri"/>
                <w:sz w:val="22"/>
              </w:rPr>
              <w:t>CN guidance unchanged since start of year. FX assumption improved (drove reported guide higher). CFO: "holistically, I feel pretty good about where we are from a guide standpoint" (May 19).</w:t>
            </w:r>
          </w:p>
        </w:tc>
      </w:tr>
      <w:tr>
        <w:tc>
          <w:tcPr>
            <w:tcW w:type="dxa" w:w="1728"/>
          </w:tcPr>
          <w:p>
            <w:r>
              <w:rPr>
                <w:rFonts w:ascii="Calibri" w:hAnsi="Calibri"/>
                <w:sz w:val="22"/>
              </w:rPr>
              <w:t>FY 2026 Operating Expense Growth (CN, ex-inorganic)</w:t>
            </w:r>
          </w:p>
        </w:tc>
        <w:tc>
          <w:tcPr>
            <w:tcW w:type="dxa" w:w="1728"/>
          </w:tcPr>
          <w:p>
            <w:r>
              <w:rPr>
                <w:rFonts w:ascii="Calibri" w:hAnsi="Calibri"/>
                <w:sz w:val="22"/>
              </w:rPr>
              <w:t>Low double-digits; 0.5–1 ppt tailwind from disposition; 0.5–1 ppt FX headwind</w:t>
            </w:r>
          </w:p>
        </w:tc>
        <w:tc>
          <w:tcPr>
            <w:tcW w:type="dxa" w:w="1728"/>
          </w:tcPr>
          <w:p>
            <w:r>
              <w:rPr>
                <w:rFonts w:ascii="Calibri" w:hAnsi="Calibri"/>
                <w:sz w:val="22"/>
              </w:rPr>
              <w:t>—</w:t>
            </w:r>
          </w:p>
        </w:tc>
        <w:tc>
          <w:tcPr>
            <w:tcW w:type="dxa" w:w="1728"/>
          </w:tcPr>
          <w:p>
            <w:r>
              <w:rPr>
                <w:rFonts w:ascii="Calibri" w:hAnsi="Calibri"/>
                <w:sz w:val="22"/>
              </w:rPr>
              <w:t>Consistent with guidance range</w:t>
            </w:r>
          </w:p>
        </w:tc>
        <w:tc>
          <w:tcPr>
            <w:tcW w:type="dxa" w:w="1728"/>
          </w:tcPr>
          <w:p>
            <w:r>
              <w:rPr>
                <w:rFonts w:ascii="Calibri" w:hAnsi="Calibri"/>
                <w:sz w:val="22"/>
              </w:rPr>
              <w:t>No revision.</w:t>
            </w:r>
          </w:p>
        </w:tc>
      </w:tr>
      <w:tr>
        <w:tc>
          <w:tcPr>
            <w:tcW w:type="dxa" w:w="1728"/>
          </w:tcPr>
          <w:p>
            <w:r>
              <w:rPr>
                <w:rFonts w:ascii="Calibri" w:hAnsi="Calibri"/>
                <w:sz w:val="22"/>
              </w:rPr>
              <w:t>VASS Revenue Growth (CN, organic)</w:t>
            </w:r>
          </w:p>
        </w:tc>
        <w:tc>
          <w:tcPr>
            <w:tcW w:type="dxa" w:w="1728"/>
          </w:tcPr>
          <w:p>
            <w:r>
              <w:rPr>
                <w:rFonts w:ascii="Calibri" w:hAnsi="Calibri"/>
                <w:sz w:val="22"/>
              </w:rPr>
              <w:t>Continued strong demand; ~40% of total revenue; no explicit growth rate guide</w:t>
            </w:r>
          </w:p>
        </w:tc>
        <w:tc>
          <w:tcPr>
            <w:tcW w:type="dxa" w:w="1728"/>
          </w:tcPr>
          <w:p>
            <w:r>
              <w:rPr>
                <w:rFonts w:ascii="Calibri" w:hAnsi="Calibri"/>
                <w:sz w:val="22"/>
              </w:rPr>
              <w:t>—</w:t>
            </w:r>
          </w:p>
        </w:tc>
        <w:tc>
          <w:tcPr>
            <w:tcW w:type="dxa" w:w="1728"/>
          </w:tcPr>
          <w:p>
            <w:r>
              <w:rPr>
                <w:rFonts w:ascii="Calibri" w:hAnsi="Calibri"/>
                <w:sz w:val="22"/>
              </w:rPr>
              <w:t>~+17.3% YoY implied by $3.74B consensus</w:t>
            </w:r>
          </w:p>
        </w:tc>
        <w:tc>
          <w:tcPr>
            <w:tcW w:type="dxa" w:w="1728"/>
          </w:tcPr>
          <w:p>
            <w:r>
              <w:rPr>
                <w:rFonts w:ascii="Calibri" w:hAnsi="Calibri"/>
                <w:sz w:val="22"/>
              </w:rPr>
              <w:t>CFO and CPO both confirmed "very strong demand" at May and June conferences. No formal revision.</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been remarkably stable since last earnings — the operating EPS consensus has barely moved (+0.2% since the post-Q1 baseline), suggesting the street has not aggressively revised up despite improving peer data and management's incrementally positive tone. This leaves meaningful room for a positive surprise if cross-border travel recovered faster than the conflict-adjusted guidance implied.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$9.07B</w:t>
            </w:r>
          </w:p>
        </w:tc>
        <w:tc>
          <w:tcPr>
            <w:tcW w:type="dxa" w:w="1080"/>
          </w:tcPr>
          <w:p>
            <w:r>
              <w:rPr>
                <w:rFonts w:ascii="Calibri" w:hAnsi="Calibri"/>
                <w:sz w:val="22"/>
              </w:rPr>
              <w:t>$9.08B</w:t>
            </w:r>
          </w:p>
        </w:tc>
        <w:tc>
          <w:tcPr>
            <w:tcW w:type="dxa" w:w="1080"/>
          </w:tcPr>
          <w:p>
            <w:r>
              <w:rPr>
                <w:rFonts w:ascii="Calibri" w:hAnsi="Calibri"/>
                <w:sz w:val="22"/>
              </w:rPr>
              <w:t>+0.1%</w:t>
            </w:r>
          </w:p>
        </w:tc>
        <w:tc>
          <w:tcPr>
            <w:tcW w:type="dxa" w:w="1080"/>
          </w:tcPr>
          <w:p>
            <w:r>
              <w:rPr>
                <w:rFonts w:ascii="Calibri" w:hAnsi="Calibri"/>
                <w:sz w:val="22"/>
              </w:rPr>
              <w:t>Low end of low double-digits CN; +1–2 ppt FX tailwind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 midpoint</w:t>
            </w:r>
          </w:p>
        </w:tc>
      </w:tr>
      <w:tr>
        <w:tc>
          <w:tcPr>
            <w:tcW w:type="dxa" w:w="1080"/>
          </w:tcPr>
          <w:p>
            <w:r>
              <w:rPr>
                <w:rFonts w:ascii="Calibri" w:hAnsi="Calibri"/>
                <w:sz w:val="22"/>
              </w:rPr>
              <w:t>EPS — Diluted Operating — Q2 2026</w:t>
            </w:r>
          </w:p>
        </w:tc>
        <w:tc>
          <w:tcPr>
            <w:tcW w:type="dxa" w:w="1080"/>
          </w:tcPr>
          <w:p>
            <w:r>
              <w:rPr>
                <w:rFonts w:ascii="Calibri" w:hAnsi="Calibri"/>
                <w:sz w:val="22"/>
              </w:rPr>
              <w:t>$4.76</w:t>
            </w:r>
          </w:p>
        </w:tc>
        <w:tc>
          <w:tcPr>
            <w:tcW w:type="dxa" w:w="1080"/>
          </w:tcPr>
          <w:p>
            <w:r>
              <w:rPr>
                <w:rFonts w:ascii="Calibri" w:hAnsi="Calibri"/>
                <w:sz w:val="22"/>
              </w:rPr>
              <w:t>$4.77</w:t>
            </w:r>
          </w:p>
        </w:tc>
        <w:tc>
          <w:tcPr>
            <w:tcW w:type="dxa" w:w="1080"/>
          </w:tcPr>
          <w:p>
            <w:r>
              <w:rPr>
                <w:rFonts w:ascii="Calibri" w:hAnsi="Calibri"/>
                <w:sz w:val="22"/>
              </w:rPr>
              <w:t>+0.2%</w:t>
            </w:r>
          </w:p>
        </w:tc>
        <w:tc>
          <w:tcPr>
            <w:tcW w:type="dxa" w:w="1080"/>
          </w:tcPr>
          <w:p>
            <w:r>
              <w:rPr>
                <w:rFonts w:ascii="Calibri" w:hAnsi="Calibri"/>
                <w:sz w:val="22"/>
              </w:rPr>
              <w:t>Implied by revenue guide + ~$150M OI&amp;E expense + 20–21% tax rate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implied range</w:t>
            </w:r>
          </w:p>
        </w:tc>
      </w:tr>
      <w:tr>
        <w:tc>
          <w:tcPr>
            <w:tcW w:type="dxa" w:w="1080"/>
          </w:tcPr>
          <w:p>
            <w:r>
              <w:rPr>
                <w:rFonts w:ascii="Calibri" w:hAnsi="Calibri"/>
                <w:sz w:val="22"/>
              </w:rPr>
              <w:t>VASS Revenue — Q2 2026</w:t>
            </w:r>
          </w:p>
        </w:tc>
        <w:tc>
          <w:tcPr>
            <w:tcW w:type="dxa" w:w="1080"/>
          </w:tcPr>
          <w:p>
            <w:r>
              <w:rPr>
                <w:rFonts w:ascii="Calibri" w:hAnsi="Calibri"/>
                <w:sz w:val="22"/>
              </w:rPr>
              <w:t>$3.75B</w:t>
            </w:r>
          </w:p>
        </w:tc>
        <w:tc>
          <w:tcPr>
            <w:tcW w:type="dxa" w:w="1080"/>
          </w:tcPr>
          <w:p>
            <w:r>
              <w:rPr>
                <w:rFonts w:ascii="Calibri" w:hAnsi="Calibri"/>
                <w:sz w:val="22"/>
              </w:rPr>
              <w:t>$3.74B</w:t>
            </w:r>
          </w:p>
        </w:tc>
        <w:tc>
          <w:tcPr>
            <w:tcW w:type="dxa" w:w="1080"/>
          </w:tcPr>
          <w:p>
            <w:r>
              <w:rPr>
                <w:rFonts w:ascii="Calibri" w:hAnsi="Calibri"/>
                <w:sz w:val="22"/>
              </w:rPr>
              <w:t>-0.3%</w:t>
            </w:r>
          </w:p>
        </w:tc>
        <w:tc>
          <w:tcPr>
            <w:tcW w:type="dxa" w:w="1080"/>
          </w:tcPr>
          <w:p>
            <w:r>
              <w:rPr>
                <w:rFonts w:ascii="Calibri" w:hAnsi="Calibri"/>
                <w:sz w:val="22"/>
              </w:rPr>
              <w:t>Continued strong demand; no explicit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in line with trend</w:t>
            </w:r>
          </w:p>
        </w:tc>
      </w:tr>
      <w:tr>
        <w:tc>
          <w:tcPr>
            <w:tcW w:type="dxa" w:w="1080"/>
          </w:tcPr>
          <w:p>
            <w:r>
              <w:rPr>
                <w:rFonts w:ascii="Calibri" w:hAnsi="Calibri"/>
                <w:sz w:val="22"/>
              </w:rPr>
              <w:t>Cross-Border Volume Growth (CC%) — Q2 2026</w:t>
            </w:r>
          </w:p>
        </w:tc>
        <w:tc>
          <w:tcPr>
            <w:tcW w:type="dxa" w:w="1080"/>
          </w:tcPr>
          <w:p>
            <w:r>
              <w:rPr>
                <w:rFonts w:ascii="Calibri" w:hAnsi="Calibri"/>
                <w:sz w:val="22"/>
              </w:rPr>
              <w:t>~+10.4%</w:t>
            </w:r>
          </w:p>
        </w:tc>
        <w:tc>
          <w:tcPr>
            <w:tcW w:type="dxa" w:w="1080"/>
          </w:tcPr>
          <w:p>
            <w:r>
              <w:rPr>
                <w:rFonts w:ascii="Calibri" w:hAnsi="Calibri"/>
                <w:sz w:val="22"/>
              </w:rPr>
              <w:t>~+10.9%</w:t>
            </w:r>
          </w:p>
        </w:tc>
        <w:tc>
          <w:tcPr>
            <w:tcW w:type="dxa" w:w="1080"/>
          </w:tcPr>
          <w:p>
            <w:r>
              <w:rPr>
                <w:rFonts w:ascii="Calibri" w:hAnsi="Calibri"/>
                <w:sz w:val="22"/>
              </w:rPr>
              <w:t>+0.5 ppt</w:t>
            </w:r>
          </w:p>
        </w:tc>
        <w:tc>
          <w:tcPr>
            <w:tcW w:type="dxa" w:w="1080"/>
          </w:tcPr>
          <w:p>
            <w:r>
              <w:rPr>
                <w:rFonts w:ascii="Calibri" w:hAnsi="Calibri"/>
                <w:sz w:val="22"/>
              </w:rPr>
              <w:t>Headwind from Middle East conflict; toughest FX comp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upward drift; upside risk from FIFA</w:t>
            </w:r>
          </w:p>
        </w:tc>
      </w:tr>
      <w:tr>
        <w:tc>
          <w:tcPr>
            <w:tcW w:type="dxa" w:w="1080"/>
          </w:tcPr>
          <w:p>
            <w:r>
              <w:rPr>
                <w:rFonts w:ascii="Calibri" w:hAnsi="Calibri"/>
                <w:sz w:val="22"/>
              </w:rPr>
              <w:t>Net Revenue — FY 2026</w:t>
            </w:r>
          </w:p>
        </w:tc>
        <w:tc>
          <w:tcPr>
            <w:tcW w:type="dxa" w:w="1080"/>
          </w:tcPr>
          <w:p>
            <w:r>
              <w:rPr>
                <w:rFonts w:ascii="Calibri" w:hAnsi="Calibri"/>
                <w:sz w:val="22"/>
              </w:rPr>
              <w:t>$37.12B</w:t>
            </w:r>
          </w:p>
        </w:tc>
        <w:tc>
          <w:tcPr>
            <w:tcW w:type="dxa" w:w="1080"/>
          </w:tcPr>
          <w:p>
            <w:r>
              <w:rPr>
                <w:rFonts w:ascii="Calibri" w:hAnsi="Calibri"/>
                <w:sz w:val="22"/>
              </w:rPr>
              <w:t>$37.13B</w:t>
            </w:r>
          </w:p>
        </w:tc>
        <w:tc>
          <w:tcPr>
            <w:tcW w:type="dxa" w:w="1080"/>
          </w:tcPr>
          <w:p>
            <w:r>
              <w:rPr>
                <w:rFonts w:ascii="Calibri" w:hAnsi="Calibri"/>
                <w:sz w:val="22"/>
              </w:rPr>
              <w:t>+0.0%</w:t>
            </w:r>
          </w:p>
        </w:tc>
        <w:tc>
          <w:tcPr>
            <w:tcW w:type="dxa" w:w="1080"/>
          </w:tcPr>
          <w:p>
            <w:r>
              <w:rPr>
                <w:rFonts w:ascii="Calibri" w:hAnsi="Calibri"/>
                <w:sz w:val="22"/>
              </w:rPr>
              <w:t>High end of low double-digits CN; +1.5 ppt FX tailwind</w:t>
            </w:r>
          </w:p>
        </w:tc>
        <w:tc>
          <w:tcPr>
            <w:tcW w:type="dxa" w:w="1080"/>
          </w:tcPr>
          <w:p>
            <w:r>
              <w:rPr>
                <w:rFonts w:ascii="Calibri" w:hAnsi="Calibri"/>
                <w:sz w:val="22"/>
              </w:rPr>
              <w:t>Unchanged (CN basis)</w:t>
            </w:r>
          </w:p>
        </w:tc>
        <w:tc>
          <w:tcPr>
            <w:tcW w:type="dxa" w:w="1080"/>
          </w:tcPr>
          <w:p>
            <w:r>
              <w:rPr>
                <w:rFonts w:ascii="Calibri" w:hAnsi="Calibri"/>
                <w:sz w:val="22"/>
              </w:rPr>
              <w:t>—</w:t>
            </w:r>
          </w:p>
        </w:tc>
        <w:tc>
          <w:tcPr>
            <w:tcW w:type="dxa" w:w="1080"/>
          </w:tcPr>
          <w:p>
            <w:r>
              <w:rPr>
                <w:rFonts w:ascii="Calibri" w:hAnsi="Calibri"/>
                <w:sz w:val="22"/>
              </w:rPr>
              <w:t>Flat; consistent with guidance</w:t>
            </w:r>
          </w:p>
        </w:tc>
      </w:tr>
      <w:tr>
        <w:tc>
          <w:tcPr>
            <w:tcW w:type="dxa" w:w="1080"/>
          </w:tcPr>
          <w:p>
            <w:r>
              <w:rPr>
                <w:rFonts w:ascii="Calibri" w:hAnsi="Calibri"/>
                <w:sz w:val="22"/>
              </w:rPr>
              <w:t>EPS — Diluted Operating — FY 2026</w:t>
            </w:r>
          </w:p>
        </w:tc>
        <w:tc>
          <w:tcPr>
            <w:tcW w:type="dxa" w:w="1080"/>
          </w:tcPr>
          <w:p>
            <w:r>
              <w:rPr>
                <w:rFonts w:ascii="Calibri" w:hAnsi="Calibri"/>
                <w:sz w:val="22"/>
              </w:rPr>
              <w:t>$19.69</w:t>
            </w:r>
          </w:p>
        </w:tc>
        <w:tc>
          <w:tcPr>
            <w:tcW w:type="dxa" w:w="1080"/>
          </w:tcPr>
          <w:p>
            <w:r>
              <w:rPr>
                <w:rFonts w:ascii="Calibri" w:hAnsi="Calibri"/>
                <w:sz w:val="22"/>
              </w:rPr>
              <w:t>$19.69</w:t>
            </w:r>
          </w:p>
        </w:tc>
        <w:tc>
          <w:tcPr>
            <w:tcW w:type="dxa" w:w="1080"/>
          </w:tcPr>
          <w:p>
            <w:r>
              <w:rPr>
                <w:rFonts w:ascii="Calibri" w:hAnsi="Calibri"/>
                <w:sz w:val="22"/>
              </w:rPr>
              <w:t>+0.0%</w:t>
            </w:r>
          </w:p>
        </w:tc>
        <w:tc>
          <w:tcPr>
            <w:tcW w:type="dxa" w:w="1080"/>
          </w:tcPr>
          <w:p>
            <w:r>
              <w:rPr>
                <w:rFonts w:ascii="Calibri" w:hAnsi="Calibri"/>
                <w:sz w:val="22"/>
              </w:rPr>
              <w:t>Implied by full-year revenue guide + opex + tax rate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no revision since Q1 print</w:t>
            </w:r>
          </w:p>
        </w:tc>
      </w:tr>
    </w:tbl>
    <w:p>
      <w:r>
        <w:rPr>
          <w:rFonts w:ascii="Calibri" w:hAnsi="Calibri"/>
          <w:i/>
          <w:color w:val="525866"/>
          <w:sz w:val="22"/>
        </w:rPr>
        <w:t xml:space="preserve">Source: Visible Alpha Consensus and Actuals Data. </w:t>
      </w:r>
      <w:r>
        <w:rPr>
          <w:rFonts w:ascii="Calibri" w:hAnsi="Calibri"/>
          <w:color w:val="525866"/>
          <w:sz w:val="22"/>
        </w:rPr>
        <w:t>The near-zero estimate drift since the post-Q1 baseline is notable — the street has essentially anchored to management's guidance without pricing in the improving peer data (Visa cross-border +12%, AXP travel bookings +22%), creating an asymmetric setup where upside surprise is more likely than downside.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MA has outperformed both IPAY (+7.8%) and SPY (+1.5%) since the April 30 earnings date, with the recovery driven almost entirely by </w:t>
      </w:r>
      <w:r>
        <w:rPr>
          <w:rFonts w:ascii="Calibri" w:hAnsi="Calibri"/>
          <w:b/>
          <w:color w:val="525866"/>
          <w:sz w:val="22"/>
        </w:rPr>
        <w:t>multiple re-expansion</w:t>
      </w:r>
      <w:r>
        <w:rPr>
          <w:rFonts w:ascii="Calibri" w:hAnsi="Calibri"/>
          <w:color w:val="525866"/>
          <w:sz w:val="22"/>
        </w:rPr>
        <w:t xml:space="preserve"> as the Middle East travel fear faded — the 1-month NTM EV/EBITDA expanded +11.3% vs. the stock's +10.5% gain, confirming sentiment rather than estimate revision as the primary driver.</w:t>
      </w:r>
    </w:p>
    <w:p>
      <w:r>
        <w:rPr>
          <w:rFonts w:ascii="Calibri" w:hAnsi="Calibri"/>
          <w:color w:val="525866"/>
          <w:sz w:val="22"/>
        </w:rPr>
        <w:t xml:space="preserve">Since the Q1 2026 earnings date (April 30, 2026), MA closed at $502.92 on earnings day and reached $563.32 by July 30, 2026 — a gain of approximately </w:t>
      </w:r>
      <w:r>
        <w:rPr>
          <w:rFonts w:ascii="Calibri" w:hAnsi="Calibri"/>
          <w:b/>
          <w:color w:val="525866"/>
          <w:sz w:val="22"/>
        </w:rPr>
        <w:t>+12.0%</w:t>
      </w:r>
      <w:r>
        <w:rPr>
          <w:rFonts w:ascii="Calibri" w:hAnsi="Calibri"/>
          <w:color w:val="525866"/>
          <w:sz w:val="22"/>
        </w:rPr>
        <w:t>. IPAY gained approximately +7.8% over the same period (from $47.12 to $50.78), and SPY gained approximately +1.5% (from $718.66 to $729.46). The stock initially sold off ~3% on April 30 as investors focused on the April cross-border travel deceleration, then recovered steadily through May and June as management's "stable to slightly better" commentary at the JP Morgan (May 19) and Bernstein (May 28) conferences reassured the market. A brief dip in early June (to ~$471 on June 3) coincided with broader market weakness, before a sharp recovery through July driven by improving peer data and FIFA World Cup cross-border tailwinds. The stock reached a high of ~$562 on July 28 — the day Visa reported strong Q2 results — before the July 30 earnings day open.</w:t>
      </w:r>
    </w:p>
    <w:p>
      <w:r>
        <w:rPr>
          <w:rFonts w:ascii="Calibri" w:hAnsi="Calibri"/>
          <w:color w:val="525866"/>
          <w:sz w:val="22"/>
        </w:rPr>
        <w:t>Benchmark: IPAY (ETF Managers Group Mobile Payments ETF) — selected as the most relevant sub-sector ETF for a global payments network company. S&amp;P 500 (SPY) used as the broad market benchmark. Source: Stock Price Data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MA (Indexed)</w:t>
            </w:r>
          </w:p>
        </w:tc>
        <w:tc>
          <w:tcPr>
            <w:tcW w:type="dxa" w:w="2160"/>
            <w:shd w:val="clear" w:color="auto" w:fill="3B4259"/>
          </w:tcPr>
          <w:p>
            <w:r>
              <w:rPr>
                <w:rFonts w:ascii="Calibri" w:hAnsi="Calibri"/>
                <w:b/>
                <w:color w:val="FFFFFF"/>
                <w:sz w:val="22"/>
              </w:rPr>
              <w:t>IPAY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98.5</w:t>
            </w:r>
          </w:p>
        </w:tc>
        <w:tc>
          <w:tcPr>
            <w:tcW w:type="dxa" w:w="2160"/>
          </w:tcPr>
          <w:p>
            <w:r>
              <w:rPr>
                <w:rFonts w:ascii="Calibri" w:hAnsi="Calibri"/>
                <w:sz w:val="22"/>
              </w:rPr>
              <w:t>98.9</w:t>
            </w:r>
          </w:p>
        </w:tc>
        <w:tc>
          <w:tcPr>
            <w:tcW w:type="dxa" w:w="2160"/>
          </w:tcPr>
          <w:p>
            <w:r>
              <w:rPr>
                <w:rFonts w:ascii="Calibri" w:hAnsi="Calibri"/>
                <w:sz w:val="22"/>
              </w:rPr>
              <w:t>102.6</w:t>
            </w:r>
          </w:p>
        </w:tc>
      </w:tr>
      <w:tr>
        <w:tc>
          <w:tcPr>
            <w:tcW w:type="dxa" w:w="2160"/>
          </w:tcPr>
          <w:p>
            <w:r>
              <w:rPr>
                <w:rFonts w:ascii="Calibri" w:hAnsi="Calibri"/>
                <w:sz w:val="22"/>
              </w:rPr>
              <w:t>May 19, 2026 (JPM Conference)</w:t>
            </w:r>
          </w:p>
        </w:tc>
        <w:tc>
          <w:tcPr>
            <w:tcW w:type="dxa" w:w="2160"/>
          </w:tcPr>
          <w:p>
            <w:r>
              <w:rPr>
                <w:rFonts w:ascii="Calibri" w:hAnsi="Calibri"/>
                <w:sz w:val="22"/>
              </w:rPr>
              <w:t>99.4</w:t>
            </w:r>
          </w:p>
        </w:tc>
        <w:tc>
          <w:tcPr>
            <w:tcW w:type="dxa" w:w="2160"/>
          </w:tcPr>
          <w:p>
            <w:r>
              <w:rPr>
                <w:rFonts w:ascii="Calibri" w:hAnsi="Calibri"/>
                <w:sz w:val="22"/>
              </w:rPr>
              <w:t>95.3</w:t>
            </w:r>
          </w:p>
        </w:tc>
        <w:tc>
          <w:tcPr>
            <w:tcW w:type="dxa" w:w="2160"/>
          </w:tcPr>
          <w:p>
            <w:r>
              <w:rPr>
                <w:rFonts w:ascii="Calibri" w:hAnsi="Calibri"/>
                <w:sz w:val="22"/>
              </w:rPr>
              <w:t>102.0</w:t>
            </w:r>
          </w:p>
        </w:tc>
      </w:tr>
      <w:tr>
        <w:tc>
          <w:tcPr>
            <w:tcW w:type="dxa" w:w="2160"/>
          </w:tcPr>
          <w:p>
            <w:r>
              <w:rPr>
                <w:rFonts w:ascii="Calibri" w:hAnsi="Calibri"/>
                <w:sz w:val="22"/>
              </w:rPr>
              <w:t>May 28, 2026 (Bernstein Conference)</w:t>
            </w:r>
          </w:p>
        </w:tc>
        <w:tc>
          <w:tcPr>
            <w:tcW w:type="dxa" w:w="2160"/>
          </w:tcPr>
          <w:p>
            <w:r>
              <w:rPr>
                <w:rFonts w:ascii="Calibri" w:hAnsi="Calibri"/>
                <w:sz w:val="22"/>
              </w:rPr>
              <w:t>98.2</w:t>
            </w:r>
          </w:p>
        </w:tc>
        <w:tc>
          <w:tcPr>
            <w:tcW w:type="dxa" w:w="2160"/>
          </w:tcPr>
          <w:p>
            <w:r>
              <w:rPr>
                <w:rFonts w:ascii="Calibri" w:hAnsi="Calibri"/>
                <w:sz w:val="22"/>
              </w:rPr>
              <w:t>96.7</w:t>
            </w:r>
          </w:p>
        </w:tc>
        <w:tc>
          <w:tcPr>
            <w:tcW w:type="dxa" w:w="2160"/>
          </w:tcPr>
          <w:p>
            <w:r>
              <w:rPr>
                <w:rFonts w:ascii="Calibri" w:hAnsi="Calibri"/>
                <w:sz w:val="22"/>
              </w:rPr>
              <w:t>105.0</w:t>
            </w:r>
          </w:p>
        </w:tc>
      </w:tr>
      <w:tr>
        <w:tc>
          <w:tcPr>
            <w:tcW w:type="dxa" w:w="2160"/>
          </w:tcPr>
          <w:p>
            <w:r>
              <w:rPr>
                <w:rFonts w:ascii="Calibri" w:hAnsi="Calibri"/>
                <w:sz w:val="22"/>
              </w:rPr>
              <w:t>Jun 3, 2026 (Evercore Conference)</w:t>
            </w:r>
          </w:p>
        </w:tc>
        <w:tc>
          <w:tcPr>
            <w:tcW w:type="dxa" w:w="2160"/>
          </w:tcPr>
          <w:p>
            <w:r>
              <w:rPr>
                <w:rFonts w:ascii="Calibri" w:hAnsi="Calibri"/>
                <w:sz w:val="22"/>
              </w:rPr>
              <w:t>93.8</w:t>
            </w:r>
          </w:p>
        </w:tc>
        <w:tc>
          <w:tcPr>
            <w:tcW w:type="dxa" w:w="2160"/>
          </w:tcPr>
          <w:p>
            <w:r>
              <w:rPr>
                <w:rFonts w:ascii="Calibri" w:hAnsi="Calibri"/>
                <w:sz w:val="22"/>
              </w:rPr>
              <w:t>92.3</w:t>
            </w:r>
          </w:p>
        </w:tc>
        <w:tc>
          <w:tcPr>
            <w:tcW w:type="dxa" w:w="2160"/>
          </w:tcPr>
          <w:p>
            <w:r>
              <w:rPr>
                <w:rFonts w:ascii="Calibri" w:hAnsi="Calibri"/>
                <w:sz w:val="22"/>
              </w:rPr>
              <w:t>104.9</w:t>
            </w:r>
          </w:p>
        </w:tc>
      </w:tr>
      <w:tr>
        <w:tc>
          <w:tcPr>
            <w:tcW w:type="dxa" w:w="2160"/>
          </w:tcPr>
          <w:p>
            <w:r>
              <w:rPr>
                <w:rFonts w:ascii="Calibri" w:hAnsi="Calibri"/>
                <w:sz w:val="22"/>
              </w:rPr>
              <w:t>Jun 9, 2026 (RBC Conference)</w:t>
            </w:r>
          </w:p>
        </w:tc>
        <w:tc>
          <w:tcPr>
            <w:tcW w:type="dxa" w:w="2160"/>
          </w:tcPr>
          <w:p>
            <w:r>
              <w:rPr>
                <w:rFonts w:ascii="Calibri" w:hAnsi="Calibri"/>
                <w:sz w:val="22"/>
              </w:rPr>
              <w:t>98.5</w:t>
            </w:r>
          </w:p>
        </w:tc>
        <w:tc>
          <w:tcPr>
            <w:tcW w:type="dxa" w:w="2160"/>
          </w:tcPr>
          <w:p>
            <w:r>
              <w:rPr>
                <w:rFonts w:ascii="Calibri" w:hAnsi="Calibri"/>
                <w:sz w:val="22"/>
              </w:rPr>
              <w:t>91.8</w:t>
            </w:r>
          </w:p>
        </w:tc>
        <w:tc>
          <w:tcPr>
            <w:tcW w:type="dxa" w:w="2160"/>
          </w:tcPr>
          <w:p>
            <w:r>
              <w:rPr>
                <w:rFonts w:ascii="Calibri" w:hAnsi="Calibri"/>
                <w:sz w:val="22"/>
              </w:rPr>
              <w:t>102.6</w:t>
            </w:r>
          </w:p>
        </w:tc>
      </w:tr>
      <w:tr>
        <w:tc>
          <w:tcPr>
            <w:tcW w:type="dxa" w:w="2160"/>
          </w:tcPr>
          <w:p>
            <w:r>
              <w:rPr>
                <w:rFonts w:ascii="Calibri" w:hAnsi="Calibri"/>
                <w:sz w:val="22"/>
              </w:rPr>
              <w:t>Jun 30, 2026 (Q2 End)</w:t>
            </w:r>
          </w:p>
        </w:tc>
        <w:tc>
          <w:tcPr>
            <w:tcW w:type="dxa" w:w="2160"/>
          </w:tcPr>
          <w:p>
            <w:r>
              <w:rPr>
                <w:rFonts w:ascii="Calibri" w:hAnsi="Calibri"/>
                <w:sz w:val="22"/>
              </w:rPr>
              <w:t>102.1</w:t>
            </w:r>
          </w:p>
        </w:tc>
        <w:tc>
          <w:tcPr>
            <w:tcW w:type="dxa" w:w="2160"/>
          </w:tcPr>
          <w:p>
            <w:r>
              <w:rPr>
                <w:rFonts w:ascii="Calibri" w:hAnsi="Calibri"/>
                <w:sz w:val="22"/>
              </w:rPr>
              <w:t>97.8</w:t>
            </w:r>
          </w:p>
        </w:tc>
        <w:tc>
          <w:tcPr>
            <w:tcW w:type="dxa" w:w="2160"/>
          </w:tcPr>
          <w:p>
            <w:r>
              <w:rPr>
                <w:rFonts w:ascii="Calibri" w:hAnsi="Calibri"/>
                <w:sz w:val="22"/>
              </w:rPr>
              <w:t>103.9</w:t>
            </w:r>
          </w:p>
        </w:tc>
      </w:tr>
      <w:tr>
        <w:tc>
          <w:tcPr>
            <w:tcW w:type="dxa" w:w="2160"/>
          </w:tcPr>
          <w:p>
            <w:r>
              <w:rPr>
                <w:rFonts w:ascii="Calibri" w:hAnsi="Calibri"/>
                <w:sz w:val="22"/>
              </w:rPr>
              <w:t>Jul 16, 2026</w:t>
            </w:r>
          </w:p>
        </w:tc>
        <w:tc>
          <w:tcPr>
            <w:tcW w:type="dxa" w:w="2160"/>
          </w:tcPr>
          <w:p>
            <w:r>
              <w:rPr>
                <w:rFonts w:ascii="Calibri" w:hAnsi="Calibri"/>
                <w:sz w:val="22"/>
              </w:rPr>
              <w:t>109.7</w:t>
            </w:r>
          </w:p>
        </w:tc>
        <w:tc>
          <w:tcPr>
            <w:tcW w:type="dxa" w:w="2160"/>
          </w:tcPr>
          <w:p>
            <w:r>
              <w:rPr>
                <w:rFonts w:ascii="Calibri" w:hAnsi="Calibri"/>
                <w:sz w:val="22"/>
              </w:rPr>
              <w:t>106.3</w:t>
            </w:r>
          </w:p>
        </w:tc>
        <w:tc>
          <w:tcPr>
            <w:tcW w:type="dxa" w:w="2160"/>
          </w:tcPr>
          <w:p>
            <w:r>
              <w:rPr>
                <w:rFonts w:ascii="Calibri" w:hAnsi="Calibri"/>
                <w:sz w:val="22"/>
              </w:rPr>
              <w:t>104.5</w:t>
            </w:r>
          </w:p>
        </w:tc>
      </w:tr>
      <w:tr>
        <w:tc>
          <w:tcPr>
            <w:tcW w:type="dxa" w:w="2160"/>
          </w:tcPr>
          <w:p>
            <w:r>
              <w:rPr>
                <w:rFonts w:ascii="Calibri" w:hAnsi="Calibri"/>
                <w:sz w:val="22"/>
              </w:rPr>
              <w:t>Jul 28, 2026 (Visa Reports)</w:t>
            </w:r>
          </w:p>
        </w:tc>
        <w:tc>
          <w:tcPr>
            <w:tcW w:type="dxa" w:w="2160"/>
          </w:tcPr>
          <w:p>
            <w:r>
              <w:rPr>
                <w:rFonts w:ascii="Calibri" w:hAnsi="Calibri"/>
                <w:sz w:val="22"/>
              </w:rPr>
              <w:t>111.9</w:t>
            </w:r>
          </w:p>
        </w:tc>
        <w:tc>
          <w:tcPr>
            <w:tcW w:type="dxa" w:w="2160"/>
          </w:tcPr>
          <w:p>
            <w:r>
              <w:rPr>
                <w:rFonts w:ascii="Calibri" w:hAnsi="Calibri"/>
                <w:sz w:val="22"/>
              </w:rPr>
              <w:t>107.4</w:t>
            </w:r>
          </w:p>
        </w:tc>
        <w:tc>
          <w:tcPr>
            <w:tcW w:type="dxa" w:w="2160"/>
          </w:tcPr>
          <w:p>
            <w:r>
              <w:rPr>
                <w:rFonts w:ascii="Calibri" w:hAnsi="Calibri"/>
                <w:sz w:val="22"/>
              </w:rPr>
              <w:t>103.1</w:t>
            </w:r>
          </w:p>
        </w:tc>
      </w:tr>
      <w:tr>
        <w:tc>
          <w:tcPr>
            <w:tcW w:type="dxa" w:w="2160"/>
          </w:tcPr>
          <w:p>
            <w:r>
              <w:rPr>
                <w:rFonts w:ascii="Calibri" w:hAnsi="Calibri"/>
                <w:sz w:val="22"/>
              </w:rPr>
              <w:t>Jul 30, 2026 (Earnings Day)</w:t>
            </w:r>
          </w:p>
        </w:tc>
        <w:tc>
          <w:tcPr>
            <w:tcW w:type="dxa" w:w="2160"/>
          </w:tcPr>
          <w:p>
            <w:r>
              <w:rPr>
                <w:rFonts w:ascii="Calibri" w:hAnsi="Calibri"/>
                <w:sz w:val="22"/>
              </w:rPr>
              <w:t>112.0</w:t>
            </w:r>
          </w:p>
        </w:tc>
        <w:tc>
          <w:tcPr>
            <w:tcW w:type="dxa" w:w="2160"/>
          </w:tcPr>
          <w:p>
            <w:r>
              <w:rPr>
                <w:rFonts w:ascii="Calibri" w:hAnsi="Calibri"/>
                <w:sz w:val="22"/>
              </w:rPr>
              <w:t>107.8</w:t>
            </w:r>
          </w:p>
        </w:tc>
        <w:tc>
          <w:tcPr>
            <w:tcW w:type="dxa" w:w="2160"/>
          </w:tcPr>
          <w:p>
            <w:r>
              <w:rPr>
                <w:rFonts w:ascii="Calibri" w:hAnsi="Calibri"/>
                <w:sz w:val="22"/>
              </w:rPr>
              <w:t>101.5</w:t>
            </w:r>
          </w:p>
        </w:tc>
      </w:tr>
    </w:tbl>
    <w:p>
      <w:r>
        <w:rPr>
          <w:rFonts w:ascii="Calibri" w:hAnsi="Calibri"/>
          <w:color w:val="525866"/>
          <w:sz w:val="22"/>
        </w:rPr>
        <w:t>Note: Indexed to 100 at April 30, 2026 close. MA=$502.92, IPAY=$47.12, SPY=$718.66. Source: Stock Price Data (Yahoo Finance). Key events marked: JPM Conference (May 19), Bernstein Conference (May 28), Evercore Conference (June 3), RBC Conference (June 9), Visa Q3 FY2026 earnings (July 28).</w:t>
      </w:r>
    </w:p>
    <w:p>
      <w:r>
        <w:rPr>
          <w:rFonts w:ascii="Calibri" w:hAnsi="Calibri"/>
          <w:b/>
          <w:color w:val="525866"/>
          <w:sz w:val="22"/>
        </w:rPr>
        <w:t xml:space="preserve">Stock Performance Decomposition: </w:t>
      </w:r>
      <w:r>
        <w:rPr>
          <w:rFonts w:ascii="Calibri" w:hAnsi="Calibri"/>
          <w:color w:val="525866"/>
          <w:sz w:val="22"/>
        </w:rPr>
        <w:t>Over the 1-month window, MA's +10.5% gain was almost entirely multiple-driven — NTM EV/EBITDA expanded +11.3% (from 18.1x to 20.2x) while NTM P/E expanded +11.4% (from 23.5x to 26.2x). Over the 3-month window, the pattern is similar: +11.0% price gain vs. +7.5% multiple expansion, with the remainder from estimate revisions. Over 12 months, the stock is essentially flat (-0.9%) despite meaningful multiple compression (-18.9% on EV/EBITDA), suggesting earnings growth has been the primary offset. Source: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Visa Q3 FY2026 earnings report (July 28)</w:t>
      </w:r>
      <w:r>
        <w:rPr>
          <w:rFonts w:ascii="Calibri" w:hAnsi="Calibri"/>
          <w:color w:val="525866"/>
          <w:sz w:val="22"/>
        </w:rPr>
        <w:t xml:space="preserve"> confirming cross-border travel up 10% and total cross-border ex-Intra-Europe up 12% in the April–June quarter — directly validating that the Middle East conflict headwind was manageable and that the FIFA World Cup provided incremental upside not in MA's original guidance.</w:t>
      </w:r>
    </w:p>
    <w:p>
      <w:pPr>
        <w:pStyle w:val="ListBullet"/>
        <w:ind w:left="360" w:hanging="360"/>
      </w:pPr>
      <w:r>
        <w:rPr>
          <w:rFonts w:ascii="Calibri" w:hAnsi="Calibri"/>
          <w:b/>
          <w:color w:val="525866"/>
          <w:sz w:val="22"/>
        </w:rPr>
        <w:t xml:space="preserve">July 28, 2026 — Visa Q3 FY2026 Earnings (Direct Read-Through): </w:t>
      </w:r>
      <w:r>
        <w:rPr>
          <w:rFonts w:ascii="Calibri" w:hAnsi="Calibri"/>
          <w:color w:val="525866"/>
          <w:sz w:val="22"/>
        </w:rPr>
        <w:t xml:space="preserve">Visa reported net revenue up 14% YoY to $11.6B, payments volume up 10% in constant dollars (crossing $4 trillion for the first time), and cross-border volume ex-Intra-Europe up 12% — all ahead of expectations. Travel-related cross-border volume grew 10% despite the Middle East conflict. FIFA World Cup (June 11–30) boosted inbound North America and Latin America cross-border card-present spend by ~25% YoY in U.S. host cities. </w:t>
      </w:r>
      <w:r>
        <w:rPr>
          <w:rFonts w:ascii="Calibri" w:hAnsi="Calibri"/>
          <w:color w:val="525866"/>
          <w:sz w:val="22"/>
        </w:rPr>
        <w:t>Implication: Strongly positive read-through for MA's Q2 cross-border volume, which consensus had at ~+10.9% CC — actual may come in at or above that level.</w:t>
      </w:r>
    </w:p>
    <w:p>
      <w:pPr>
        <w:pStyle w:val="ListBullet"/>
        <w:ind w:left="360" w:hanging="360"/>
      </w:pPr>
      <w:r>
        <w:rPr>
          <w:rFonts w:ascii="Calibri" w:hAnsi="Calibri"/>
          <w:b/>
          <w:color w:val="525866"/>
          <w:sz w:val="22"/>
        </w:rPr>
        <w:t xml:space="preserve">July 24, 2026 — American Express Q2 2026 Earnings (Read-Through): </w:t>
      </w:r>
      <w:r>
        <w:rPr>
          <w:rFonts w:ascii="Calibri" w:hAnsi="Calibri"/>
          <w:color w:val="525866"/>
          <w:sz w:val="22"/>
        </w:rPr>
        <w:t xml:space="preserve">AXP reported 10% revenue growth, raised full-year revenue guidance to 10%, and disclosed global travel bookings up 22% YoY and airline spend up 10% (highest in six quarters). US consumer spending up 11% — highest since Q1 2018 ex-COVID. </w:t>
      </w:r>
      <w:r>
        <w:rPr>
          <w:rFonts w:ascii="Calibri" w:hAnsi="Calibri"/>
          <w:color w:val="525866"/>
          <w:sz w:val="22"/>
        </w:rPr>
        <w:t>Implication: Confirms healthy consumer spending environment and robust travel demand heading into MA's print.</w:t>
      </w:r>
    </w:p>
    <w:p>
      <w:pPr>
        <w:pStyle w:val="ListBullet"/>
        <w:ind w:left="360" w:hanging="360"/>
      </w:pPr>
      <w:r>
        <w:rPr>
          <w:rFonts w:ascii="Calibri" w:hAnsi="Calibri"/>
          <w:b/>
          <w:color w:val="525866"/>
          <w:sz w:val="22"/>
        </w:rPr>
        <w:t xml:space="preserve">July 21, 2026 — Capital One Q2 2026 Earnings (Read-Through): </w:t>
      </w:r>
      <w:r>
        <w:rPr>
          <w:rFonts w:ascii="Calibri" w:hAnsi="Calibri"/>
          <w:color w:val="525866"/>
          <w:sz w:val="22"/>
        </w:rPr>
        <w:t xml:space="preserve">COF reported purchase volume up 26% YoY (primarily Discover acquisition), with legacy Capital One domestic card business up ~14% organically. Consumer described as "resilient" despite high energy prices. </w:t>
      </w:r>
      <w:r>
        <w:rPr>
          <w:rFonts w:ascii="Calibri" w:hAnsi="Calibri"/>
          <w:color w:val="525866"/>
          <w:sz w:val="22"/>
        </w:rPr>
        <w:t>Implication: Positive for MA's switched transaction volumes; Capital One debit migration to Discover network is now essentially complete, removing a prior headwind to MA's debit volumes.</w:t>
      </w:r>
    </w:p>
    <w:p>
      <w:pPr>
        <w:pStyle w:val="ListBullet"/>
        <w:ind w:left="360" w:hanging="360"/>
      </w:pPr>
      <w:r>
        <w:rPr>
          <w:rFonts w:ascii="Calibri" w:hAnsi="Calibri"/>
          <w:b/>
          <w:color w:val="525866"/>
          <w:sz w:val="22"/>
        </w:rPr>
        <w:t xml:space="preserve">July 28, 2026 — PayPal Q2 2026 Earnings (Read-Through): </w:t>
      </w:r>
      <w:r>
        <w:rPr>
          <w:rFonts w:ascii="Calibri" w:hAnsi="Calibri"/>
          <w:color w:val="525866"/>
          <w:sz w:val="22"/>
        </w:rPr>
        <w:t xml:space="preserve">PYPL reported TPV of $486B, accelerating to 9% currency-neutral growth. Braintree PSP volume grew 13%. Branded checkout stabilized at +2% CN. Raised full-year non-GAAP EPS guidance to $5.38. </w:t>
      </w:r>
      <w:r>
        <w:rPr>
          <w:rFonts w:ascii="Calibri" w:hAnsi="Calibri"/>
          <w:color w:val="525866"/>
          <w:sz w:val="22"/>
        </w:rPr>
        <w:t>Implication: Confirms healthy e-commerce environment; BNPL growth (+26%) and Venmo momentum (+14% TPV) indicate continued digital payment adoption.</w:t>
      </w:r>
    </w:p>
    <w:p>
      <w:pPr>
        <w:pStyle w:val="ListBullet"/>
        <w:ind w:left="360" w:hanging="360"/>
      </w:pPr>
      <w:r>
        <w:rPr>
          <w:rFonts w:ascii="Calibri" w:hAnsi="Calibri"/>
          <w:b/>
          <w:color w:val="525866"/>
          <w:sz w:val="22"/>
        </w:rPr>
        <w:t xml:space="preserve">June 2, 2026 — Senior Leadership Changes Announced (Effective August 3, 2026): </w:t>
      </w:r>
      <w:r>
        <w:rPr>
          <w:rFonts w:ascii="Calibri" w:hAnsi="Calibri"/>
          <w:color w:val="525866"/>
          <w:sz w:val="22"/>
        </w:rPr>
        <w:t xml:space="preserve">Mastercard announced a broad set of senior leadership changes: Ling Hai becomes CFO (succeeding Sachin Mehra, who moves to a new Chief Business Officer role); Linda Kirkpatrick becomes Chief Services Officer; Dimi Dosis becomes Chief Commercial Payments Officer; Tim Murphy plans to retire in October 2026. </w:t>
      </w:r>
      <w:r>
        <w:rPr>
          <w:rFonts w:ascii="Calibri" w:hAnsi="Calibri"/>
          <w:color w:val="525866"/>
          <w:sz w:val="22"/>
        </w:rPr>
        <w:t>Implication: Transition creates short-term uncertainty around CFO messaging continuity; management characterized changes as reflecting internal bench depth with no external hires (except Ann Johnson into Security Solutions).</w:t>
      </w:r>
    </w:p>
    <w:p>
      <w:pPr>
        <w:pStyle w:val="ListBullet"/>
        <w:ind w:left="360" w:hanging="360"/>
      </w:pPr>
      <w:r>
        <w:rPr>
          <w:rFonts w:ascii="Calibri" w:hAnsi="Calibri"/>
          <w:b/>
          <w:color w:val="525866"/>
          <w:sz w:val="22"/>
        </w:rPr>
        <w:t xml:space="preserve">June 10, 2026 — Machine-to-Machine Payment System Unveiled: </w:t>
      </w:r>
      <w:r>
        <w:rPr>
          <w:rFonts w:ascii="Calibri" w:hAnsi="Calibri"/>
          <w:color w:val="525866"/>
          <w:sz w:val="22"/>
        </w:rPr>
        <w:t xml:space="preserve">Mastercard unveiled its machine-to-machine payment system designed for agent-to-agent transactions, targeting autonomous AI agent purchases (e.g., domain names, web services, image licenses). CPO Jorn Lambert described it as a "brand-new addressable market" with sub-5ms transaction velocity requirements. </w:t>
      </w:r>
      <w:r>
        <w:rPr>
          <w:rFonts w:ascii="Calibri" w:hAnsi="Calibri"/>
          <w:color w:val="525866"/>
          <w:sz w:val="22"/>
        </w:rPr>
        <w:t>Implication: Long-term growth driver; not a near-term revenue contributor but signals strategic positioning in agentic commerce.</w:t>
      </w:r>
    </w:p>
    <w:p>
      <w:pPr>
        <w:pStyle w:val="ListBullet"/>
        <w:ind w:left="360" w:hanging="360"/>
      </w:pPr>
      <w:r>
        <w:rPr>
          <w:rFonts w:ascii="Calibri" w:hAnsi="Calibri"/>
          <w:b/>
          <w:color w:val="525866"/>
          <w:sz w:val="22"/>
        </w:rPr>
        <w:t xml:space="preserve">June 2026 — Stablecoin Settlement Expansion: </w:t>
      </w:r>
      <w:r>
        <w:rPr>
          <w:rFonts w:ascii="Calibri" w:hAnsi="Calibri"/>
          <w:color w:val="525866"/>
          <w:sz w:val="22"/>
        </w:rPr>
        <w:t xml:space="preserve">Mastercard expanded card settlement capabilities to include regulated stablecoins (USDC, PYUSD, USDG, USDP, RLUSD, SoFiUSD) across multiple blockchain networks (Arbitrum, Base, Ethereum, Solana). BVNK acquisition expected to close "within the next couple of months" per CPO Lambert at the June 9 RBC conference. </w:t>
      </w:r>
      <w:r>
        <w:rPr>
          <w:rFonts w:ascii="Calibri" w:hAnsi="Calibri"/>
          <w:color w:val="525866"/>
          <w:sz w:val="22"/>
        </w:rPr>
        <w:t>Implication: Positions MA as the infrastructure layer for stablecoin-based payments; BVNK close will be a catalyst for the multi-rail strategy.</w:t>
      </w:r>
    </w:p>
    <w:p>
      <w:pPr>
        <w:pStyle w:val="ListBullet"/>
        <w:ind w:left="360" w:hanging="360"/>
      </w:pPr>
      <w:r>
        <w:rPr>
          <w:rFonts w:ascii="Calibri" w:hAnsi="Calibri"/>
          <w:b/>
          <w:color w:val="525866"/>
          <w:sz w:val="22"/>
        </w:rPr>
        <w:t xml:space="preserve">May 7, 2026 — Corporate Controller Appointment (8-K): </w:t>
      </w:r>
      <w:r>
        <w:rPr>
          <w:rFonts w:ascii="Calibri" w:hAnsi="Calibri"/>
          <w:color w:val="525866"/>
          <w:sz w:val="22"/>
        </w:rPr>
        <w:t xml:space="preserve">Mastercard appointed Chris Mullett as Corporate Controller. </w:t>
      </w:r>
      <w:r>
        <w:rPr>
          <w:rFonts w:ascii="Calibri" w:hAnsi="Calibri"/>
          <w:color w:val="525866"/>
          <w:sz w:val="22"/>
        </w:rPr>
        <w:t>Implication: Routine appointment; part of the broader leadership transition announced in June.</w:t>
      </w:r>
    </w:p>
    <w:p>
      <w:pPr>
        <w:pStyle w:val="ListBullet"/>
        <w:ind w:left="360" w:hanging="360"/>
      </w:pPr>
      <w:r>
        <w:rPr>
          <w:rFonts w:ascii="Calibri" w:hAnsi="Calibri"/>
          <w:b/>
          <w:color w:val="525866"/>
          <w:sz w:val="22"/>
        </w:rPr>
        <w:t xml:space="preserve">April 30, 2026 — SessionM Loyalty Business Divestiture: </w:t>
      </w:r>
      <w:r>
        <w:rPr>
          <w:rFonts w:ascii="Calibri" w:hAnsi="Calibri"/>
          <w:color w:val="525866"/>
          <w:sz w:val="22"/>
        </w:rPr>
        <w:t xml:space="preserve">Management confirmed the planned sale of SessionM (loyalty business) expected to close within Q2 2026, with minimal revenue impact and a 0–1 ppt operating expense benefit. </w:t>
      </w:r>
      <w:r>
        <w:rPr>
          <w:rFonts w:ascii="Calibri" w:hAnsi="Calibri"/>
          <w:color w:val="525866"/>
          <w:sz w:val="22"/>
        </w:rPr>
        <w:t>Implication: Portfolio rationalization consistent with MA's focus on core VASS capabilities; modest positive to margins.</w:t>
      </w:r>
    </w:p>
    <w:p>
      <w:r>
        <w:br w:type="page"/>
      </w:r>
    </w:p>
    <w:p>
      <w:pPr>
        <w:pStyle w:val="Heading1"/>
        <w:pBdr>
          <w:bottom w:val="single" w:sz="4" w:space="1" w:color="FB9120"/>
        </w:pBdr>
      </w:pPr>
      <w:r>
        <w:rPr>
          <w:rFonts w:ascii="Calibri" w:hAnsi="Calibri"/>
          <w:b/>
          <w:color w:val="3B4259"/>
          <w:sz w:val="40"/>
        </w:rPr>
        <w:t>7. Peer Commentaries — Current Reporting Quarter Read-Throughs</w:t>
      </w:r>
    </w:p>
    <w:p>
      <w:r>
        <w:rPr>
          <w:rFonts w:ascii="Calibri" w:hAnsi="Calibri"/>
          <w:b/>
          <w:color w:val="525866"/>
          <w:sz w:val="22"/>
        </w:rPr>
        <w:t xml:space="preserve">Key Takeaway: </w:t>
      </w:r>
      <w:r>
        <w:rPr>
          <w:rFonts w:ascii="Calibri" w:hAnsi="Calibri"/>
          <w:color w:val="525866"/>
          <w:sz w:val="22"/>
        </w:rPr>
        <w:t>Peer commentary from the last 60 days is uniformly constructive for MA's Q2 2026 print — Visa's direct competitor data confirms cross-border volume held up better than feared, AXP's travel bookings surge validates the FIFA tailwind, and Capital One's consumer resilience commentary supports healthy switched transaction volumes. The only nuance is PayPal's observation of early-Q2 travel pressure that moderated as the quarter progressed, consistent with MA's own Middle East conflict narrative.</w:t>
      </w:r>
    </w:p>
    <w:p>
      <w:r>
        <w:rPr>
          <w:rFonts w:ascii="Calibri" w:hAnsi="Calibri"/>
          <w:b/>
          <w:i/>
          <w:color w:val="525866"/>
          <w:sz w:val="22"/>
        </w:rPr>
        <w:t xml:space="preserve">Note: </w:t>
      </w:r>
      <w:r>
        <w:rPr>
          <w:rFonts w:ascii="Calibri" w:hAnsi="Calibri"/>
          <w:i/>
          <w:color w:val="525866"/>
          <w:sz w:val="22"/>
        </w:rPr>
        <w:t>Only commentary from the last 60 days (on or after May 29, 2026) that addresses calendar Q2 2026 (April–June 2026) conditions or forward outlook is included below. Retrospective commentary solely about prior-quarter results is excluded.</w:t>
      </w:r>
    </w:p>
    <w:p>
      <w:pPr>
        <w:pStyle w:val="Heading2"/>
      </w:pPr>
      <w:r>
        <w:rPr>
          <w:rFonts w:ascii="Calibri" w:hAnsi="Calibri"/>
          <w:b/>
          <w:color w:val="3B4259"/>
          <w:sz w:val="28"/>
        </w:rPr>
        <w:t>Visa (V) — Q3 FY2026 Earnings Call, July 28, 2026</w:t>
      </w:r>
    </w:p>
    <w:p>
      <w:r>
        <w:rPr>
          <w:rFonts w:ascii="Calibri" w:hAnsi="Calibri"/>
          <w:b/>
          <w:color w:val="525866"/>
          <w:sz w:val="22"/>
        </w:rPr>
        <w:t xml:space="preserve">Relevance: </w:t>
      </w:r>
      <w:r>
        <w:rPr>
          <w:rFonts w:ascii="Calibri" w:hAnsi="Calibri"/>
          <w:color w:val="525866"/>
          <w:sz w:val="22"/>
        </w:rPr>
        <w:t>Visa is MA's closest direct competitor and operates an identical business model. Visa's fiscal Q3 covers April–June 2026, the same calendar period as MA's Q2 2026. This is the highest-quality read-through available.</w:t>
      </w:r>
    </w:p>
    <w:p>
      <w:pPr>
        <w:pStyle w:val="ListBullet"/>
        <w:ind w:left="360" w:hanging="360"/>
      </w:pPr>
      <w:r>
        <w:rPr>
          <w:rFonts w:ascii="Calibri" w:hAnsi="Calibri"/>
          <w:b/>
          <w:color w:val="525866"/>
          <w:sz w:val="22"/>
        </w:rPr>
        <w:t xml:space="preserve">Consumer Spending (Q2 2026): </w:t>
      </w:r>
      <w:r>
        <w:rPr>
          <w:rFonts w:ascii="Calibri" w:hAnsi="Calibri"/>
          <w:color w:val="525866"/>
          <w:sz w:val="22"/>
        </w:rPr>
        <w:t>"Quarterly payments volume grew 10% year over year in constant dollars to cross $4 trillion, the first time in Visa's history and process transactions grew 10% year over year to $72 billion, reflecting strong and resilient consumer spending." U.S. payment volume grew 10% YoY — "a growth rate not seen since fiscal 2019" — with both card-present and card-not-present growth accelerating. Both discretionary and non-discretionary spend remained strong; Visa "do not see signs of the lower spend consumer weakening."</w:t>
      </w:r>
    </w:p>
    <w:p>
      <w:pPr>
        <w:pStyle w:val="ListBullet"/>
        <w:ind w:left="360" w:hanging="360"/>
      </w:pPr>
      <w:r>
        <w:rPr>
          <w:rFonts w:ascii="Calibri" w:hAnsi="Calibri"/>
          <w:b/>
          <w:color w:val="525866"/>
          <w:sz w:val="22"/>
        </w:rPr>
        <w:t xml:space="preserve">Cross-Border Volume (Q2 2026): </w:t>
      </w:r>
      <w:r>
        <w:rPr>
          <w:rFonts w:ascii="Calibri" w:hAnsi="Calibri"/>
          <w:b/>
          <w:color w:val="30A46C"/>
          <w:sz w:val="22"/>
        </w:rPr>
        <w:t xml:space="preserve">Total cross-border volume ex-Intra-Europe grew 12% YoY in Q2, up more than a point from Q1. Travel-related cross-border volume grew 10%, consistent with Q1, "while the conflict continued to be an offsetting factor." Cross-border e-commerce was up 16%, three points above Q1, driven by retail and promotional shopping events. </w:t>
      </w:r>
      <w:r>
        <w:rPr>
          <w:rFonts w:ascii="Calibri" w:hAnsi="Calibri"/>
          <w:color w:val="525866"/>
          <w:sz w:val="22"/>
        </w:rPr>
        <w:t xml:space="preserve"> Through July 21, total cross-border ex-Intra-Europe grew 14% YoY (e-commerce +18%, travel +12%).</w:t>
      </w:r>
    </w:p>
    <w:p>
      <w:pPr>
        <w:pStyle w:val="ListBullet"/>
        <w:ind w:left="360" w:hanging="360"/>
      </w:pPr>
      <w:r>
        <w:rPr>
          <w:rFonts w:ascii="Calibri" w:hAnsi="Calibri"/>
          <w:b/>
          <w:color w:val="525866"/>
          <w:sz w:val="22"/>
        </w:rPr>
        <w:t xml:space="preserve">FIFA World Cup Impact (June 11–30): </w:t>
      </w:r>
      <w:r>
        <w:rPr>
          <w:rFonts w:ascii="Calibri" w:hAnsi="Calibri"/>
          <w:b/>
          <w:color w:val="30A46C"/>
          <w:sz w:val="22"/>
        </w:rPr>
        <w:t xml:space="preserve">"Inbound cross-border card present spend in U.S. host cities increased by nearly 25% year over year from June 11th to June 30th." Kansas City saw 1,000% YoY cross-border card-present transaction growth on match days. Mexico and Canada saw inbound cross-border card-present volume growth exceeding 70% and 35% YoY, respectively. </w:t>
      </w:r>
      <w:r>
        <w:rPr>
          <w:rFonts w:ascii="Calibri" w:hAnsi="Calibri"/>
          <w:color w:val="525866"/>
          <w:sz w:val="22"/>
        </w:rPr>
        <w:t xml:space="preserve"> This FIFA boost was not in MA's original Q2 guidance.</w:t>
      </w:r>
    </w:p>
    <w:p>
      <w:pPr>
        <w:pStyle w:val="ListBullet"/>
        <w:ind w:left="360" w:hanging="360"/>
      </w:pPr>
      <w:r>
        <w:rPr>
          <w:rFonts w:ascii="Calibri" w:hAnsi="Calibri"/>
          <w:b/>
          <w:color w:val="525866"/>
          <w:sz w:val="22"/>
        </w:rPr>
        <w:t xml:space="preserve">Forward Outlook (Visa Fiscal Q4 = July–September 2026): </w:t>
      </w:r>
      <w:r>
        <w:rPr>
          <w:rFonts w:ascii="Calibri" w:hAnsi="Calibri"/>
          <w:color w:val="525866"/>
          <w:sz w:val="22"/>
        </w:rPr>
        <w:t>Visa guided Q4 net revenue growth at the "high end of low double digits," assuming "broader consumer spend stability continues." Volatility assumed to persist at current levels (generally in line with Q1). Client incentives expected slightly above Q3. Visa expressed confidence in a "strong Q4" as a launching point for FY2027.</w:t>
      </w:r>
    </w:p>
    <w:p>
      <w:pPr>
        <w:pStyle w:val="ListBullet"/>
        <w:ind w:left="360" w:hanging="360"/>
      </w:pPr>
      <w:r>
        <w:rPr>
          <w:rFonts w:ascii="Calibri" w:hAnsi="Calibri"/>
          <w:b/>
          <w:color w:val="525866"/>
          <w:sz w:val="22"/>
        </w:rPr>
        <w:t xml:space="preserve">VAS Revenue (Q2 2026): </w:t>
      </w:r>
      <w:r>
        <w:rPr>
          <w:rFonts w:ascii="Calibri" w:hAnsi="Calibri"/>
          <w:b/>
          <w:color w:val="30A46C"/>
          <w:sz w:val="22"/>
        </w:rPr>
        <w:t xml:space="preserve">Visa's Value Added Services revenue grew 34% YoY in constant dollars to $3.8B, driven by underlying business strength (including FIFA-related marketing services), pricing, and the Prisma acquisition. All four VAS portfolios grew faster over the past 12 months than their historical growth rates. </w:t>
      </w:r>
      <w:r>
        <w:rPr>
          <w:rFonts w:ascii="Calibri" w:hAnsi="Calibri"/>
          <w:color w:val="525866"/>
          <w:sz w:val="22"/>
        </w:rPr>
        <w:t xml:space="preserve"> Positive read-through for MA's VASS segment.</w:t>
      </w:r>
    </w:p>
    <w:p>
      <w:pPr>
        <w:pStyle w:val="ListBullet"/>
        <w:ind w:left="360" w:hanging="360"/>
      </w:pPr>
      <w:r>
        <w:rPr>
          <w:rFonts w:ascii="Calibri" w:hAnsi="Calibri"/>
          <w:b/>
          <w:color w:val="525866"/>
          <w:sz w:val="22"/>
        </w:rPr>
        <w:t xml:space="preserve">Tokenization: </w:t>
      </w:r>
      <w:r>
        <w:rPr>
          <w:rFonts w:ascii="Calibri" w:hAnsi="Calibri"/>
          <w:color w:val="525866"/>
          <w:sz w:val="22"/>
        </w:rPr>
        <w:t>Tokenized penetration nearing 60% of Visa's e-commerce transactions globally — consistent with MA's ~50% penetration disclosure, confirming industry-wide secular adoption.</w:t>
      </w:r>
    </w:p>
    <w:p>
      <w:pPr>
        <w:pStyle w:val="Heading2"/>
      </w:pPr>
      <w:r>
        <w:rPr>
          <w:rFonts w:ascii="Calibri" w:hAnsi="Calibri"/>
          <w:b/>
          <w:color w:val="3B4259"/>
          <w:sz w:val="28"/>
        </w:rPr>
        <w:t>American Express (AXP) — Q2 2026 Earnings Call, July 24, 2026</w:t>
      </w:r>
    </w:p>
    <w:p>
      <w:r>
        <w:rPr>
          <w:rFonts w:ascii="Calibri" w:hAnsi="Calibri"/>
          <w:b/>
          <w:color w:val="525866"/>
          <w:sz w:val="22"/>
        </w:rPr>
        <w:t xml:space="preserve">Relevance: </w:t>
      </w:r>
      <w:r>
        <w:rPr>
          <w:rFonts w:ascii="Calibri" w:hAnsi="Calibri"/>
          <w:color w:val="525866"/>
          <w:sz w:val="22"/>
        </w:rPr>
        <w:t>AXP is a major card network and issuer with significant overlap in affluent consumer and travel spending — the segments most relevant to MA's cross-border volume. AXP's Q2 covers the same April–June 2026 calendar period.</w:t>
      </w:r>
    </w:p>
    <w:p>
      <w:pPr>
        <w:pStyle w:val="ListBullet"/>
        <w:ind w:left="360" w:hanging="360"/>
      </w:pPr>
      <w:r>
        <w:rPr>
          <w:rFonts w:ascii="Calibri" w:hAnsi="Calibri"/>
          <w:b/>
          <w:color w:val="525866"/>
          <w:sz w:val="22"/>
        </w:rPr>
        <w:t xml:space="preserve">Consumer Spending (Q2 2026): </w:t>
      </w:r>
      <w:r>
        <w:rPr>
          <w:rFonts w:ascii="Calibri" w:hAnsi="Calibri"/>
          <w:b/>
          <w:color w:val="30A46C"/>
          <w:sz w:val="22"/>
        </w:rPr>
        <w:t xml:space="preserve">AXP reported overall spend up 9.4% FX-adjusted in Q2, "almost a point higher than Q1." Growth was "broad based across categories" — goods and services up 9%, T&amp;E up 10%. US consumer spending up 11% — "the highest level of growth since Q1 2018, excluding periods impacted by the pandemic." Millennial and Gen Z customers remained the "fastest growing cohorts." </w:t>
      </w:r>
    </w:p>
    <w:p>
      <w:pPr>
        <w:pStyle w:val="ListBullet"/>
        <w:ind w:left="360" w:hanging="360"/>
      </w:pPr>
      <w:r>
        <w:rPr>
          <w:rFonts w:ascii="Calibri" w:hAnsi="Calibri"/>
          <w:b/>
          <w:color w:val="525866"/>
          <w:sz w:val="22"/>
        </w:rPr>
        <w:t xml:space="preserve">Travel &amp; Cross-Border (Q2 2026): </w:t>
      </w:r>
      <w:r>
        <w:rPr>
          <w:rFonts w:ascii="Calibri" w:hAnsi="Calibri"/>
          <w:b/>
          <w:color w:val="30A46C"/>
          <w:sz w:val="22"/>
        </w:rPr>
        <w:t xml:space="preserve">"Global travel bookings up 22% year over year in the quarter." Airline spending up 10% — "the highest number we've seen in the last six quarters." International spend up 12% FX-adjusted, with "four of our top five countries growing at a double digit rate." AXP sees "no evidence of a general slowdown" despite geopolitical events. </w:t>
      </w:r>
      <w:r>
        <w:rPr>
          <w:rFonts w:ascii="Calibri" w:hAnsi="Calibri"/>
          <w:color w:val="525866"/>
          <w:sz w:val="22"/>
        </w:rPr>
        <w:t xml:space="preserve"> Directly validates MA's cross-border travel recovery thesis.</w:t>
      </w:r>
    </w:p>
    <w:p>
      <w:pPr>
        <w:pStyle w:val="ListBullet"/>
        <w:ind w:left="360" w:hanging="360"/>
      </w:pPr>
      <w:r>
        <w:rPr>
          <w:rFonts w:ascii="Calibri" w:hAnsi="Calibri"/>
          <w:b/>
          <w:color w:val="525866"/>
          <w:sz w:val="22"/>
        </w:rPr>
        <w:t xml:space="preserve">Credit Quality (Q2 2026): </w:t>
      </w:r>
      <w:r>
        <w:rPr>
          <w:rFonts w:ascii="Calibri" w:hAnsi="Calibri"/>
          <w:color w:val="525866"/>
          <w:sz w:val="22"/>
        </w:rPr>
        <w:t>Both delinquency and write-off rates remain "below 2019 levels." Delinquency rates have been between 1.2–1.3% for over three years. AXP showed the "lowest projected credit card loss rate across all banks" in the Fed's stress tests. Positive for consumer spending durability.</w:t>
      </w:r>
    </w:p>
    <w:p>
      <w:pPr>
        <w:pStyle w:val="ListBullet"/>
        <w:ind w:left="360" w:hanging="360"/>
      </w:pPr>
      <w:r>
        <w:rPr>
          <w:rFonts w:ascii="Calibri" w:hAnsi="Calibri"/>
          <w:b/>
          <w:color w:val="525866"/>
          <w:sz w:val="22"/>
        </w:rPr>
        <w:t xml:space="preserve">Forward Guidance: </w:t>
      </w:r>
      <w:r>
        <w:rPr>
          <w:rFonts w:ascii="Calibri" w:hAnsi="Calibri"/>
          <w:b/>
          <w:color w:val="30A46C"/>
          <w:sz w:val="22"/>
        </w:rPr>
        <w:t xml:space="preserve">AXP raised full-year revenue growth guidance to 10% (from prior range), planning to reinvest outperformance in growth initiatives. Full-year EPS guidance maintained at $17.30–$17.90. Management noted "stronger momentum than we expected" six months into the year and anticipates "great momentum" in H2. </w:t>
      </w:r>
    </w:p>
    <w:p>
      <w:pPr>
        <w:pStyle w:val="ListBullet"/>
        <w:ind w:left="360" w:hanging="360"/>
      </w:pPr>
      <w:r>
        <w:rPr>
          <w:rFonts w:ascii="Calibri" w:hAnsi="Calibri"/>
          <w:b/>
          <w:color w:val="525866"/>
          <w:sz w:val="22"/>
        </w:rPr>
        <w:t xml:space="preserve">Agentic Commerce: </w:t>
      </w:r>
      <w:r>
        <w:rPr>
          <w:rFonts w:ascii="Calibri" w:hAnsi="Calibri"/>
          <w:color w:val="525866"/>
          <w:sz w:val="22"/>
        </w:rPr>
        <w:t>AXP highlighted its closed-loop data as a "huge advantage" in agentic commerce for fraud prevention and purchase matching, noting it announced an "Agentic insurance product" months ago. Consistent with MA's own agentic commerce positioning.</w:t>
      </w:r>
    </w:p>
    <w:p>
      <w:pPr>
        <w:pStyle w:val="Heading2"/>
      </w:pPr>
      <w:r>
        <w:rPr>
          <w:rFonts w:ascii="Calibri" w:hAnsi="Calibri"/>
          <w:b/>
          <w:color w:val="3B4259"/>
          <w:sz w:val="28"/>
        </w:rPr>
        <w:t>Capital One (COF) — Q2 2026 Earnings Call, July 21, 2026</w:t>
      </w:r>
    </w:p>
    <w:p>
      <w:r>
        <w:rPr>
          <w:rFonts w:ascii="Calibri" w:hAnsi="Calibri"/>
          <w:b/>
          <w:color w:val="525866"/>
          <w:sz w:val="22"/>
        </w:rPr>
        <w:t xml:space="preserve">Relevance: </w:t>
      </w:r>
      <w:r>
        <w:rPr>
          <w:rFonts w:ascii="Calibri" w:hAnsi="Calibri"/>
          <w:color w:val="525866"/>
          <w:sz w:val="22"/>
        </w:rPr>
        <w:t>COF is a major MA issuer and, following the Discover acquisition, now operates a competing payment network. COF's Q2 covers April–June 2026. The Capital One debit migration to Discover is now essentially complete, removing a prior headwind to MA's debit volumes.</w:t>
      </w:r>
    </w:p>
    <w:p>
      <w:pPr>
        <w:pStyle w:val="ListBullet"/>
        <w:ind w:left="360" w:hanging="360"/>
      </w:pPr>
      <w:r>
        <w:rPr>
          <w:rFonts w:ascii="Calibri" w:hAnsi="Calibri"/>
          <w:b/>
          <w:color w:val="525866"/>
          <w:sz w:val="22"/>
        </w:rPr>
        <w:t xml:space="preserve">Consumer Spending (Q2 2026): </w:t>
      </w:r>
      <w:r>
        <w:rPr>
          <w:rFonts w:ascii="Calibri" w:hAnsi="Calibri"/>
          <w:b/>
          <w:color w:val="30A46C"/>
          <w:sz w:val="22"/>
        </w:rPr>
        <w:t xml:space="preserve">"The US consumer and the overall economy remained resilient despite the high energy prices." COF observed "healthy spend growth driven both by account growth and by steady growth in spend per customer." Bank balances and debt servicing burdens "look a bit stronger than a year ago across income levels." Real wage growth turned negative in April–May but "was back in positive territory ever so slightly in June as inflation ticked back down." </w:t>
      </w:r>
    </w:p>
    <w:p>
      <w:pPr>
        <w:pStyle w:val="ListBullet"/>
        <w:ind w:left="360" w:hanging="360"/>
      </w:pPr>
      <w:r>
        <w:rPr>
          <w:rFonts w:ascii="Calibri" w:hAnsi="Calibri"/>
          <w:b/>
          <w:color w:val="525866"/>
          <w:sz w:val="22"/>
        </w:rPr>
        <w:t xml:space="preserve">Card Payment Volume (Q2 2026): </w:t>
      </w:r>
      <w:r>
        <w:rPr>
          <w:rFonts w:ascii="Calibri" w:hAnsi="Calibri"/>
          <w:b/>
          <w:color w:val="30A46C"/>
          <w:sz w:val="22"/>
        </w:rPr>
        <w:t xml:space="preserve">Legacy Capital One domestic card business purchase volume grew ~14% YoY organically (including Brex and Corporate Card). Global payment network transaction volume approximately $190B for the quarter, with sequential quarter increase of ~9%. </w:t>
      </w:r>
    </w:p>
    <w:p>
      <w:pPr>
        <w:pStyle w:val="ListBullet"/>
        <w:ind w:left="360" w:hanging="360"/>
      </w:pPr>
      <w:r>
        <w:rPr>
          <w:rFonts w:ascii="Calibri" w:hAnsi="Calibri"/>
          <w:b/>
          <w:color w:val="525866"/>
          <w:sz w:val="22"/>
        </w:rPr>
        <w:t xml:space="preserve">Capital One Debit Migration (Completed): </w:t>
      </w:r>
      <w:r>
        <w:rPr>
          <w:rFonts w:ascii="Calibri" w:hAnsi="Calibri"/>
          <w:b/>
          <w:color w:val="30A46C"/>
          <w:sz w:val="22"/>
        </w:rPr>
        <w:t xml:space="preserve">"The debit revenue synergies are essentially in the numbers." The conversion of Capital One debit customers to the Discover network is complete. </w:t>
      </w:r>
      <w:r>
        <w:rPr>
          <w:rFonts w:ascii="Calibri" w:hAnsi="Calibri"/>
          <w:color w:val="525866"/>
          <w:sz w:val="22"/>
        </w:rPr>
        <w:t xml:space="preserve"> This removes a headwind that had weighed on MA's debit switched transaction volumes in prior quarters.</w:t>
      </w:r>
    </w:p>
    <w:p>
      <w:pPr>
        <w:pStyle w:val="ListBullet"/>
        <w:ind w:left="360" w:hanging="360"/>
      </w:pPr>
      <w:r>
        <w:rPr>
          <w:rFonts w:ascii="Calibri" w:hAnsi="Calibri"/>
          <w:b/>
          <w:color w:val="525866"/>
          <w:sz w:val="22"/>
        </w:rPr>
        <w:t xml:space="preserve">Forward Outlook: </w:t>
      </w:r>
      <w:r>
        <w:rPr>
          <w:rFonts w:ascii="Calibri" w:hAnsi="Calibri"/>
          <w:color w:val="525866"/>
          <w:sz w:val="22"/>
        </w:rPr>
        <w:t>COF expects "continued contraction in the near term" for Discover loan growth (brownout), with the bottom around Q4 2026, before leaning into growth. Operating expense synergies on track; full $2.5B synergy target maintained. Discover front-book originations expected fully on Capital One's tech stack by end of Q3 2026.</w:t>
      </w:r>
    </w:p>
    <w:p>
      <w:pPr>
        <w:pStyle w:val="Heading2"/>
      </w:pPr>
      <w:r>
        <w:rPr>
          <w:rFonts w:ascii="Calibri" w:hAnsi="Calibri"/>
          <w:b/>
          <w:color w:val="3B4259"/>
          <w:sz w:val="28"/>
        </w:rPr>
        <w:t>PayPal (PYPL) — Q2 2026 Earnings Call, July 28, 2026</w:t>
      </w:r>
    </w:p>
    <w:p>
      <w:r>
        <w:rPr>
          <w:rFonts w:ascii="Calibri" w:hAnsi="Calibri"/>
          <w:b/>
          <w:color w:val="525866"/>
          <w:sz w:val="22"/>
        </w:rPr>
        <w:t xml:space="preserve">Relevance: </w:t>
      </w:r>
      <w:r>
        <w:rPr>
          <w:rFonts w:ascii="Calibri" w:hAnsi="Calibri"/>
          <w:color w:val="525866"/>
          <w:sz w:val="22"/>
        </w:rPr>
        <w:t>PYPL is a major digital payments player with significant e-commerce and cross-border exposure. Less direct than Visa/AXP but provides useful color on e-commerce trends and consumer digital payment behavior in Q2 2026. Note: PYPL's business model (closed-loop, P2P-heavy) differs materially from MA's open-loop network.</w:t>
      </w:r>
    </w:p>
    <w:p>
      <w:pPr>
        <w:pStyle w:val="ListBullet"/>
        <w:ind w:left="360" w:hanging="360"/>
      </w:pPr>
      <w:r>
        <w:rPr>
          <w:rFonts w:ascii="Calibri" w:hAnsi="Calibri"/>
          <w:b/>
          <w:color w:val="525866"/>
          <w:sz w:val="22"/>
        </w:rPr>
        <w:t xml:space="preserve">Total Payment Volume (Q2 2026): </w:t>
      </w:r>
      <w:r>
        <w:rPr>
          <w:rFonts w:ascii="Calibri" w:hAnsi="Calibri"/>
          <w:b/>
          <w:color w:val="30A46C"/>
          <w:sz w:val="22"/>
        </w:rPr>
        <w:t xml:space="preserve">TPV of $486B, accelerating to 9% currency-neutral growth. Braintree PSP volume grew 13% (from 11% in Q1 and 7% in H2 2025). Venmo TPV grew 14% YoY — seventh consecutive quarter of double-digit growth. </w:t>
      </w:r>
    </w:p>
    <w:p>
      <w:pPr>
        <w:pStyle w:val="ListBullet"/>
        <w:ind w:left="360" w:hanging="360"/>
      </w:pPr>
      <w:r>
        <w:rPr>
          <w:rFonts w:ascii="Calibri" w:hAnsi="Calibri"/>
          <w:b/>
          <w:color w:val="525866"/>
          <w:sz w:val="22"/>
        </w:rPr>
        <w:t xml:space="preserve">Travel Vertical (Q2 2026): </w:t>
      </w:r>
      <w:r>
        <w:rPr>
          <w:rFonts w:ascii="Calibri" w:hAnsi="Calibri"/>
          <w:b/>
          <w:color w:val="E5484D"/>
          <w:sz w:val="22"/>
        </w:rPr>
        <w:t xml:space="preserve">"We saw some pressure in the travel vertical that was earlier in the quarter, and that tended to moderate as we went through the quarter." </w:t>
      </w:r>
      <w:r>
        <w:rPr>
          <w:rFonts w:ascii="Calibri" w:hAnsi="Calibri"/>
          <w:color w:val="525866"/>
          <w:sz w:val="22"/>
        </w:rPr>
        <w:t xml:space="preserve"> This is consistent with MA's narrative that the Middle East conflict impact was most pronounced in April and progressively recovered through Q2.</w:t>
      </w:r>
    </w:p>
    <w:p>
      <w:pPr>
        <w:pStyle w:val="ListBullet"/>
        <w:ind w:left="360" w:hanging="360"/>
      </w:pPr>
      <w:r>
        <w:rPr>
          <w:rFonts w:ascii="Calibri" w:hAnsi="Calibri"/>
          <w:b/>
          <w:color w:val="525866"/>
          <w:sz w:val="22"/>
        </w:rPr>
        <w:t xml:space="preserve">Geographic Trends (Q2 2026): </w:t>
      </w:r>
      <w:r>
        <w:rPr>
          <w:rFonts w:ascii="Calibri" w:hAnsi="Calibri"/>
          <w:color w:val="525866"/>
          <w:sz w:val="22"/>
        </w:rPr>
        <w:t>"Nice sequential growth in the US in the second quarter" driven by BNPL and Venmo momentum, plus "some benefit in June from the World Cup." Core European markets "also improved to a slightly lesser extent than the U.S., but they were still very stable."</w:t>
      </w:r>
    </w:p>
    <w:p>
      <w:pPr>
        <w:pStyle w:val="ListBullet"/>
        <w:ind w:left="360" w:hanging="360"/>
      </w:pPr>
      <w:r>
        <w:rPr>
          <w:rFonts w:ascii="Calibri" w:hAnsi="Calibri"/>
          <w:b/>
          <w:color w:val="525866"/>
          <w:sz w:val="22"/>
        </w:rPr>
        <w:t xml:space="preserve">Forward Guidance: </w:t>
      </w:r>
      <w:r>
        <w:rPr>
          <w:rFonts w:ascii="Calibri" w:hAnsi="Calibri"/>
          <w:color w:val="525866"/>
          <w:sz w:val="22"/>
        </w:rPr>
        <w:t>PYPL raised full-year non-GAAP EPS guidance to $5.38 and expects online branded checkout TPV growth of low single digits for the full year (modest improvement from prior expectations). Q3 2026 guidance: low single-digit revenue growth CN, slightly positive transaction margin dollar growth.</w:t>
      </w:r>
    </w:p>
    <w:p>
      <w:pPr>
        <w:pStyle w:val="Heading2"/>
      </w:pPr>
      <w:r>
        <w:rPr>
          <w:rFonts w:ascii="Calibri" w:hAnsi="Calibri"/>
          <w:b/>
          <w:color w:val="3B4259"/>
          <w:sz w:val="28"/>
        </w:rPr>
        <w:t>Mastercard Management — Post-Q1 Conference Commentary (May–June 2026)</w:t>
      </w:r>
    </w:p>
    <w:p>
      <w:r>
        <w:rPr>
          <w:rFonts w:ascii="Calibri" w:hAnsi="Calibri"/>
          <w:b/>
          <w:color w:val="525866"/>
          <w:sz w:val="22"/>
        </w:rPr>
        <w:t xml:space="preserve">Relevance: </w:t>
      </w:r>
      <w:r>
        <w:rPr>
          <w:rFonts w:ascii="Calibri" w:hAnsi="Calibri"/>
          <w:color w:val="525866"/>
          <w:sz w:val="22"/>
        </w:rPr>
        <w:t>MA management provided explicit Q2 trend updates at multiple conferences between May 19 and June 9, 2026 — the most current forward-looking color available before the print.</w:t>
      </w:r>
    </w:p>
    <w:p>
      <w:pPr>
        <w:pStyle w:val="ListBullet"/>
        <w:ind w:left="360" w:hanging="360"/>
      </w:pPr>
      <w:r>
        <w:rPr>
          <w:rFonts w:ascii="Calibri" w:hAnsi="Calibri"/>
          <w:b/>
          <w:color w:val="525866"/>
          <w:sz w:val="22"/>
        </w:rPr>
        <w:t xml:space="preserve">JP Morgan Conference (May 19, 2026) — CFO Sachin Mehra: </w:t>
      </w:r>
      <w:r>
        <w:rPr>
          <w:rFonts w:ascii="Calibri" w:hAnsi="Calibri"/>
          <w:color w:val="525866"/>
          <w:sz w:val="22"/>
        </w:rPr>
        <w:t>"As we mentioned at the earnings call and as I look at even trends post earnings, the consumer continues to be in actually pretty good shape." Metrics through the first two weeks of May showed "stable to slightly better trends across the metrics." Middle East conflict impact "not outside of our expectations." Full-year CN guidance "basically unchanged." CFO: "holistically, I feel pretty good about where we are from a guide standpoint."</w:t>
      </w:r>
    </w:p>
    <w:p>
      <w:pPr>
        <w:pStyle w:val="ListBullet"/>
        <w:ind w:left="360" w:hanging="360"/>
      </w:pPr>
      <w:r>
        <w:rPr>
          <w:rFonts w:ascii="Calibri" w:hAnsi="Calibri"/>
          <w:b/>
          <w:color w:val="525866"/>
          <w:sz w:val="22"/>
        </w:rPr>
        <w:t xml:space="preserve">Bernstein Conference (May 28, 2026) — CEO Michael Miebach: </w:t>
      </w:r>
      <w:r>
        <w:rPr>
          <w:rFonts w:ascii="Calibri" w:hAnsi="Calibri"/>
          <w:color w:val="525866"/>
          <w:sz w:val="22"/>
        </w:rPr>
        <w:t>"The growth in consumer spending has continued into May, the first 2 weeks as well, where we saw stable to slightly better consumer spending." U.S. described as "healthy growth" and international as "continued growing at a healthy clip." CEO: "we continue to put good prints out there." Agentic commerce described as "a tremendous opportunity."</w:t>
      </w:r>
    </w:p>
    <w:p>
      <w:pPr>
        <w:pStyle w:val="ListBullet"/>
        <w:ind w:left="360" w:hanging="360"/>
      </w:pPr>
      <w:r>
        <w:rPr>
          <w:rFonts w:ascii="Calibri" w:hAnsi="Calibri"/>
          <w:b/>
          <w:color w:val="525866"/>
          <w:sz w:val="22"/>
        </w:rPr>
        <w:t xml:space="preserve">RBC Conference (June 9, 2026) — CPO Jorn Lambert: </w:t>
      </w:r>
      <w:r>
        <w:rPr>
          <w:rFonts w:ascii="Calibri" w:hAnsi="Calibri"/>
          <w:color w:val="525866"/>
          <w:sz w:val="22"/>
        </w:rPr>
        <w:t>Geopolitical headwinds characterized as "cyclical" rather than secular; geographic and use-case diversification "dulls cyclical impacts." BVNK acquisition expected to close "in the next couple of months." Machine-to-machine payment system unveiled the following day (June 10). Secular growth described as "very robust" with a "long runway."</w:t>
      </w:r>
    </w:p>
    <w:p>
      <w:pPr>
        <w:pStyle w:val="ListBullet"/>
        <w:ind w:left="360" w:hanging="360"/>
      </w:pPr>
      <w:r>
        <w:rPr>
          <w:rFonts w:ascii="Calibri" w:hAnsi="Calibri"/>
          <w:b/>
          <w:color w:val="525866"/>
          <w:sz w:val="22"/>
        </w:rPr>
        <w:t xml:space="preserve">Evercore Conference (June 3, 2026) — EVP Johan Gerber: </w:t>
      </w:r>
      <w:r>
        <w:rPr>
          <w:rFonts w:ascii="Calibri" w:hAnsi="Calibri"/>
          <w:color w:val="525866"/>
          <w:sz w:val="22"/>
        </w:rPr>
        <w:t>Security Solutions confirmed as the "largest part of our VAS portfolio." Decision Intelligence Pro: "20% increase in fraud detection, 80% reduction in false positives." Management changes characterized as showing "depth in the bench." Competitive positioning: "we are well positioned to not just compete but to win in this space."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last earnings are 10b5-1 planned sales — no discretionary open-market selling or buying. The activity is routine and obligation-driven; there is no insider signal (positive or negative) heading into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McLaughlin, Edward Grunde</w:t>
            </w:r>
          </w:p>
        </w:tc>
        <w:tc>
          <w:tcPr>
            <w:tcW w:type="dxa" w:w="1440"/>
          </w:tcPr>
          <w:p>
            <w:r>
              <w:rPr>
                <w:rFonts w:ascii="Calibri" w:hAnsi="Calibri"/>
                <w:sz w:val="22"/>
              </w:rPr>
              <w:t>President &amp; CTO, MA Tech</w:t>
            </w:r>
          </w:p>
        </w:tc>
        <w:tc>
          <w:tcPr>
            <w:tcW w:type="dxa" w:w="1440"/>
          </w:tcPr>
          <w:p>
            <w:r>
              <w:rPr>
                <w:rFonts w:ascii="Calibri" w:hAnsi="Calibri"/>
                <w:sz w:val="22"/>
              </w:rPr>
              <w:t>10b5-1 Planned Sale</w:t>
            </w:r>
          </w:p>
        </w:tc>
        <w:tc>
          <w:tcPr>
            <w:tcW w:type="dxa" w:w="1440"/>
          </w:tcPr>
          <w:p>
            <w:r>
              <w:rPr>
                <w:rFonts w:ascii="Calibri" w:hAnsi="Calibri"/>
                <w:sz w:val="22"/>
              </w:rPr>
              <w:t>14,260 shares</w:t>
            </w:r>
          </w:p>
        </w:tc>
        <w:tc>
          <w:tcPr>
            <w:tcW w:type="dxa" w:w="1440"/>
          </w:tcPr>
          <w:p>
            <w:r>
              <w:rPr>
                <w:rFonts w:ascii="Calibri" w:hAnsi="Calibri"/>
                <w:sz w:val="22"/>
              </w:rPr>
              <w:t>Jul 1, 2026</w:t>
            </w:r>
          </w:p>
        </w:tc>
        <w:tc>
          <w:tcPr>
            <w:tcW w:type="dxa" w:w="1440"/>
          </w:tcPr>
          <w:p>
            <w:r>
              <w:rPr>
                <w:rFonts w:ascii="Calibri" w:hAnsi="Calibri"/>
                <w:sz w:val="22"/>
              </w:rPr>
              <w:t>Pre-planned; 10b5-1 plan. Largest single transaction in the period by share count.</w:t>
            </w:r>
          </w:p>
        </w:tc>
      </w:tr>
      <w:tr>
        <w:tc>
          <w:tcPr>
            <w:tcW w:type="dxa" w:w="1440"/>
          </w:tcPr>
          <w:p>
            <w:r>
              <w:rPr>
                <w:rFonts w:ascii="Calibri" w:hAnsi="Calibri"/>
                <w:sz w:val="22"/>
              </w:rPr>
              <w:t>Seshadri, Raj</w:t>
            </w:r>
          </w:p>
        </w:tc>
        <w:tc>
          <w:tcPr>
            <w:tcW w:type="dxa" w:w="1440"/>
          </w:tcPr>
          <w:p>
            <w:r>
              <w:rPr>
                <w:rFonts w:ascii="Calibri" w:hAnsi="Calibri"/>
                <w:sz w:val="22"/>
              </w:rPr>
              <w:t>Chief Commercial Payments Officer</w:t>
            </w:r>
          </w:p>
        </w:tc>
        <w:tc>
          <w:tcPr>
            <w:tcW w:type="dxa" w:w="1440"/>
          </w:tcPr>
          <w:p>
            <w:r>
              <w:rPr>
                <w:rFonts w:ascii="Calibri" w:hAnsi="Calibri"/>
                <w:sz w:val="22"/>
              </w:rPr>
              <w:t>10b5-1 Planned Sale</w:t>
            </w:r>
          </w:p>
        </w:tc>
        <w:tc>
          <w:tcPr>
            <w:tcW w:type="dxa" w:w="1440"/>
          </w:tcPr>
          <w:p>
            <w:r>
              <w:rPr>
                <w:rFonts w:ascii="Calibri" w:hAnsi="Calibri"/>
                <w:sz w:val="22"/>
              </w:rPr>
              <w:t>4,828 shares</w:t>
            </w:r>
          </w:p>
        </w:tc>
        <w:tc>
          <w:tcPr>
            <w:tcW w:type="dxa" w:w="1440"/>
          </w:tcPr>
          <w:p>
            <w:r>
              <w:rPr>
                <w:rFonts w:ascii="Calibri" w:hAnsi="Calibri"/>
                <w:sz w:val="22"/>
              </w:rPr>
              <w:t>Jul 1, 2026</w:t>
            </w:r>
          </w:p>
        </w:tc>
        <w:tc>
          <w:tcPr>
            <w:tcW w:type="dxa" w:w="1440"/>
          </w:tcPr>
          <w:p>
            <w:r>
              <w:rPr>
                <w:rFonts w:ascii="Calibri" w:hAnsi="Calibri"/>
                <w:sz w:val="22"/>
              </w:rPr>
              <w:t>Pre-planned; 10b5-1 plan. Note: Seshadri announced as Senior Strategic Advisor to CEO effective Aug 3, 2026.</w:t>
            </w:r>
          </w:p>
        </w:tc>
      </w:tr>
      <w:tr>
        <w:tc>
          <w:tcPr>
            <w:tcW w:type="dxa" w:w="1440"/>
          </w:tcPr>
          <w:p>
            <w:r>
              <w:rPr>
                <w:rFonts w:ascii="Calibri" w:hAnsi="Calibri"/>
                <w:sz w:val="22"/>
              </w:rPr>
              <w:t>Seshadri, Raj</w:t>
            </w:r>
          </w:p>
        </w:tc>
        <w:tc>
          <w:tcPr>
            <w:tcW w:type="dxa" w:w="1440"/>
          </w:tcPr>
          <w:p>
            <w:r>
              <w:rPr>
                <w:rFonts w:ascii="Calibri" w:hAnsi="Calibri"/>
                <w:sz w:val="22"/>
              </w:rPr>
              <w:t>Chief Commercial Payments Officer</w:t>
            </w:r>
          </w:p>
        </w:tc>
        <w:tc>
          <w:tcPr>
            <w:tcW w:type="dxa" w:w="1440"/>
          </w:tcPr>
          <w:p>
            <w:r>
              <w:rPr>
                <w:rFonts w:ascii="Calibri" w:hAnsi="Calibri"/>
                <w:sz w:val="22"/>
              </w:rPr>
              <w:t>10b5-1 Planned Sale</w:t>
            </w:r>
          </w:p>
        </w:tc>
        <w:tc>
          <w:tcPr>
            <w:tcW w:type="dxa" w:w="1440"/>
          </w:tcPr>
          <w:p>
            <w:r>
              <w:rPr>
                <w:rFonts w:ascii="Calibri" w:hAnsi="Calibri"/>
                <w:sz w:val="22"/>
              </w:rPr>
              <w:t>1,977 shares</w:t>
            </w:r>
          </w:p>
        </w:tc>
        <w:tc>
          <w:tcPr>
            <w:tcW w:type="dxa" w:w="1440"/>
          </w:tcPr>
          <w:p>
            <w:r>
              <w:rPr>
                <w:rFonts w:ascii="Calibri" w:hAnsi="Calibri"/>
                <w:sz w:val="22"/>
              </w:rPr>
              <w:t>Jul 2, 2026</w:t>
            </w:r>
          </w:p>
        </w:tc>
        <w:tc>
          <w:tcPr>
            <w:tcW w:type="dxa" w:w="1440"/>
          </w:tcPr>
          <w:p>
            <w:r>
              <w:rPr>
                <w:rFonts w:ascii="Calibri" w:hAnsi="Calibri"/>
                <w:sz w:val="22"/>
              </w:rPr>
              <w:t>Pre-planned; 10b5-1 plan. Second tranche of same plan.</w:t>
            </w:r>
          </w:p>
        </w:tc>
      </w:tr>
      <w:tr>
        <w:tc>
          <w:tcPr>
            <w:tcW w:type="dxa" w:w="1440"/>
          </w:tcPr>
          <w:p>
            <w:r>
              <w:rPr>
                <w:rFonts w:ascii="Calibri" w:hAnsi="Calibri"/>
                <w:sz w:val="22"/>
              </w:rPr>
              <w:t>Arkell, Sandra A</w:t>
            </w:r>
          </w:p>
        </w:tc>
        <w:tc>
          <w:tcPr>
            <w:tcW w:type="dxa" w:w="1440"/>
          </w:tcPr>
          <w:p>
            <w:r>
              <w:rPr>
                <w:rFonts w:ascii="Calibri" w:hAnsi="Calibri"/>
                <w:sz w:val="22"/>
              </w:rPr>
              <w:t>Controller</w:t>
            </w:r>
          </w:p>
        </w:tc>
        <w:tc>
          <w:tcPr>
            <w:tcW w:type="dxa" w:w="1440"/>
          </w:tcPr>
          <w:p>
            <w:r>
              <w:rPr>
                <w:rFonts w:ascii="Calibri" w:hAnsi="Calibri"/>
                <w:sz w:val="22"/>
              </w:rPr>
              <w:t>10b5-1 Planned Sale</w:t>
            </w:r>
          </w:p>
        </w:tc>
        <w:tc>
          <w:tcPr>
            <w:tcW w:type="dxa" w:w="1440"/>
          </w:tcPr>
          <w:p>
            <w:r>
              <w:rPr>
                <w:rFonts w:ascii="Calibri" w:hAnsi="Calibri"/>
                <w:sz w:val="22"/>
              </w:rPr>
              <w:t>200 shares</w:t>
            </w:r>
          </w:p>
        </w:tc>
        <w:tc>
          <w:tcPr>
            <w:tcW w:type="dxa" w:w="1440"/>
          </w:tcPr>
          <w:p>
            <w:r>
              <w:rPr>
                <w:rFonts w:ascii="Calibri" w:hAnsi="Calibri"/>
                <w:sz w:val="22"/>
              </w:rPr>
              <w:t>Jul 6, 2026</w:t>
            </w:r>
          </w:p>
        </w:tc>
        <w:tc>
          <w:tcPr>
            <w:tcW w:type="dxa" w:w="1440"/>
          </w:tcPr>
          <w:p>
            <w:r>
              <w:rPr>
                <w:rFonts w:ascii="Calibri" w:hAnsi="Calibri"/>
                <w:sz w:val="22"/>
              </w:rPr>
              <w:t>Pre-planned; 10b5-1 plan. Routine small-lot sale.</w:t>
            </w:r>
          </w:p>
        </w:tc>
      </w:tr>
      <w:tr>
        <w:tc>
          <w:tcPr>
            <w:tcW w:type="dxa" w:w="1440"/>
          </w:tcPr>
          <w:p>
            <w:r>
              <w:rPr>
                <w:rFonts w:ascii="Calibri" w:hAnsi="Calibri"/>
                <w:sz w:val="22"/>
              </w:rPr>
              <w:t>Arkell, Sandra A</w:t>
            </w:r>
          </w:p>
        </w:tc>
        <w:tc>
          <w:tcPr>
            <w:tcW w:type="dxa" w:w="1440"/>
          </w:tcPr>
          <w:p>
            <w:r>
              <w:rPr>
                <w:rFonts w:ascii="Calibri" w:hAnsi="Calibri"/>
                <w:sz w:val="22"/>
              </w:rPr>
              <w:t>Controller</w:t>
            </w:r>
          </w:p>
        </w:tc>
        <w:tc>
          <w:tcPr>
            <w:tcW w:type="dxa" w:w="1440"/>
          </w:tcPr>
          <w:p>
            <w:r>
              <w:rPr>
                <w:rFonts w:ascii="Calibri" w:hAnsi="Calibri"/>
                <w:sz w:val="22"/>
              </w:rPr>
              <w:t>10b5-1 Planned Sale</w:t>
            </w:r>
          </w:p>
        </w:tc>
        <w:tc>
          <w:tcPr>
            <w:tcW w:type="dxa" w:w="1440"/>
          </w:tcPr>
          <w:p>
            <w:r>
              <w:rPr>
                <w:rFonts w:ascii="Calibri" w:hAnsi="Calibri"/>
                <w:sz w:val="22"/>
              </w:rPr>
              <w:t>200 shares</w:t>
            </w:r>
          </w:p>
        </w:tc>
        <w:tc>
          <w:tcPr>
            <w:tcW w:type="dxa" w:w="1440"/>
          </w:tcPr>
          <w:p>
            <w:r>
              <w:rPr>
                <w:rFonts w:ascii="Calibri" w:hAnsi="Calibri"/>
                <w:sz w:val="22"/>
              </w:rPr>
              <w:t>Jul 7, 2026</w:t>
            </w:r>
          </w:p>
        </w:tc>
        <w:tc>
          <w:tcPr>
            <w:tcW w:type="dxa" w:w="1440"/>
          </w:tcPr>
          <w:p>
            <w:r>
              <w:rPr>
                <w:rFonts w:ascii="Calibri" w:hAnsi="Calibri"/>
                <w:sz w:val="22"/>
              </w:rPr>
              <w:t>Pre-planned; 10b5-1 plan. Routine small-lot sale.</w:t>
            </w:r>
          </w:p>
        </w:tc>
      </w:tr>
      <w:tr>
        <w:tc>
          <w:tcPr>
            <w:tcW w:type="dxa" w:w="1440"/>
          </w:tcPr>
          <w:p>
            <w:r>
              <w:rPr>
                <w:rFonts w:ascii="Calibri" w:hAnsi="Calibri"/>
                <w:sz w:val="22"/>
              </w:rPr>
              <w:t>Arkell, Sandra A</w:t>
            </w:r>
          </w:p>
        </w:tc>
        <w:tc>
          <w:tcPr>
            <w:tcW w:type="dxa" w:w="1440"/>
          </w:tcPr>
          <w:p>
            <w:r>
              <w:rPr>
                <w:rFonts w:ascii="Calibri" w:hAnsi="Calibri"/>
                <w:sz w:val="22"/>
              </w:rPr>
              <w:t>Controller</w:t>
            </w:r>
          </w:p>
        </w:tc>
        <w:tc>
          <w:tcPr>
            <w:tcW w:type="dxa" w:w="1440"/>
          </w:tcPr>
          <w:p>
            <w:r>
              <w:rPr>
                <w:rFonts w:ascii="Calibri" w:hAnsi="Calibri"/>
                <w:sz w:val="22"/>
              </w:rPr>
              <w:t>10b5-1 Planned Sale</w:t>
            </w:r>
          </w:p>
        </w:tc>
        <w:tc>
          <w:tcPr>
            <w:tcW w:type="dxa" w:w="1440"/>
          </w:tcPr>
          <w:p>
            <w:r>
              <w:rPr>
                <w:rFonts w:ascii="Calibri" w:hAnsi="Calibri"/>
                <w:sz w:val="22"/>
              </w:rPr>
              <w:t>200 shares</w:t>
            </w:r>
          </w:p>
        </w:tc>
        <w:tc>
          <w:tcPr>
            <w:tcW w:type="dxa" w:w="1440"/>
          </w:tcPr>
          <w:p>
            <w:r>
              <w:rPr>
                <w:rFonts w:ascii="Calibri" w:hAnsi="Calibri"/>
                <w:sz w:val="22"/>
              </w:rPr>
              <w:t>Jul 14, 2026</w:t>
            </w:r>
          </w:p>
        </w:tc>
        <w:tc>
          <w:tcPr>
            <w:tcW w:type="dxa" w:w="1440"/>
          </w:tcPr>
          <w:p>
            <w:r>
              <w:rPr>
                <w:rFonts w:ascii="Calibri" w:hAnsi="Calibri"/>
                <w:sz w:val="22"/>
              </w:rPr>
              <w:t>Pre-planned; 10b5-1 plan. Routine small-lot sale.</w:t>
            </w:r>
          </w:p>
        </w:tc>
      </w:tr>
      <w:tr>
        <w:tc>
          <w:tcPr>
            <w:tcW w:type="dxa" w:w="1440"/>
          </w:tcPr>
          <w:p>
            <w:r>
              <w:rPr>
                <w:rFonts w:ascii="Calibri" w:hAnsi="Calibri"/>
                <w:sz w:val="22"/>
              </w:rPr>
              <w:t>Arkell, Sandra A</w:t>
            </w:r>
          </w:p>
        </w:tc>
        <w:tc>
          <w:tcPr>
            <w:tcW w:type="dxa" w:w="1440"/>
          </w:tcPr>
          <w:p>
            <w:r>
              <w:rPr>
                <w:rFonts w:ascii="Calibri" w:hAnsi="Calibri"/>
                <w:sz w:val="22"/>
              </w:rPr>
              <w:t>Controller</w:t>
            </w:r>
          </w:p>
        </w:tc>
        <w:tc>
          <w:tcPr>
            <w:tcW w:type="dxa" w:w="1440"/>
          </w:tcPr>
          <w:p>
            <w:r>
              <w:rPr>
                <w:rFonts w:ascii="Calibri" w:hAnsi="Calibri"/>
                <w:sz w:val="22"/>
              </w:rPr>
              <w:t>10b5-1 Planned Sale</w:t>
            </w:r>
          </w:p>
        </w:tc>
        <w:tc>
          <w:tcPr>
            <w:tcW w:type="dxa" w:w="1440"/>
          </w:tcPr>
          <w:p>
            <w:r>
              <w:rPr>
                <w:rFonts w:ascii="Calibri" w:hAnsi="Calibri"/>
                <w:sz w:val="22"/>
              </w:rPr>
              <w:t>144 shares</w:t>
            </w:r>
          </w:p>
        </w:tc>
        <w:tc>
          <w:tcPr>
            <w:tcW w:type="dxa" w:w="1440"/>
          </w:tcPr>
          <w:p>
            <w:r>
              <w:rPr>
                <w:rFonts w:ascii="Calibri" w:hAnsi="Calibri"/>
                <w:sz w:val="22"/>
              </w:rPr>
              <w:t>Jul 15, 2026</w:t>
            </w:r>
          </w:p>
        </w:tc>
        <w:tc>
          <w:tcPr>
            <w:tcW w:type="dxa" w:w="1440"/>
          </w:tcPr>
          <w:p>
            <w:r>
              <w:rPr>
                <w:rFonts w:ascii="Calibri" w:hAnsi="Calibri"/>
                <w:sz w:val="22"/>
              </w:rPr>
              <w:t>Pre-planned; 10b5-1 plan. Routine small-lot sale.</w:t>
            </w:r>
          </w:p>
        </w:tc>
      </w:tr>
    </w:tbl>
    <w:p>
      <w:r>
        <w:rPr>
          <w:rFonts w:ascii="Calibri" w:hAnsi="Calibri"/>
          <w:color w:val="525866"/>
          <w:sz w:val="22"/>
        </w:rPr>
        <w:t>Source: SEC Form 4 Filings (Insider Transaction Data). All transactions are open-market sales executed under pre-established 10b5-1 trading plans. No open-market discretionary buys or sells were filed in the period since last earnings (April 30, 2026). The absence of discretionary activity — in either direction — is consistent with the blackout period ahead of the July 30 earnings call and provides no incremental signal on management's view of the quarter.</w:t>
      </w:r>
    </w:p>
    <w:p>
      <w:r>
        <w:rPr>
          <w:rFonts w:ascii="Calibri" w:hAnsi="Calibri"/>
          <w:b/>
          <w:color w:val="525866"/>
          <w:sz w:val="22"/>
        </w:rPr>
        <w:t xml:space="preserve">Form 4 Links: </w:t>
      </w:r>
      <w:r>
        <w:rPr>
          <w:rFonts w:ascii="Calibri" w:hAnsi="Calibri"/>
          <w:color w:val="525866"/>
          <w:sz w:val="22"/>
        </w:rPr>
        <w:t>McLaughlin (Jul 1): https://www.sec.gov/Archives/edgar/data/1141391/000114139126000069/xslF345X06/wk-form4_1783022713.xml | Seshadri (Jul 1–2): https://www.sec.gov/Archives/edgar/data/1141391/000114139126000070/xslF345X06/wk-form4_1783023191.xml | Arkell (Jul 6–7): https://www.sec.gov/Archives/edgar/data/1141391/000114139126000072/xslF345X06/wk-form4_1783541187.xml | Arkell (Jul 14–15): https://www.sec.gov/Archives/edgar/data/1141391/000114139126000076/xslF345X06/wk-form4_1784149431.xml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