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aa-earnings-predictions--2026-07-29"/>
    <w:p>
      <w:pPr>
        <w:pStyle w:val="Heading1"/>
      </w:pPr>
      <w:r>
        <w:t xml:space="preserve">MAA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share (Q2)26)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2.08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2.06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Blended lease rate growth (Q2 same--store the pricing inflection)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~+0.5% vs. cons ~+0.9%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 (Q2)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~-0.5% vs. cons ~-0.6%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FFO/share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8.53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8.55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~+0.55% midpoint vs. cons ~+0.7%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NOI growth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~-0.7% midpoint vs. cons ~-0.4%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July new-lease / new-lease growth trajectory (Q3 setup commentary)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pred ~-6% new-lease vs. cons ~-5% implied (Q2/July)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-2.8% (FADE)</w:t>
            </w:r>
          </w:p>
        </w:tc>
        <w:tc>
          <w:tcPr/>
          <w:p>
            <w:pPr>
              <w:pStyle w:val="Compact"/>
            </w:pPr>
            <w:r>
              <w:t xml:space="preserve">Core FFO prints near the telegraphed $2.06-2.08 midpoint, so the headline is a non-event; the stock has already round-tripped from $120 to $142 and drifted back to $135 into the print as a 'show-me' name. The move hinges on the new-lease inflection and a guide raise. Base case is a reaffirm (not a raise) with new-lease growth still ~-6% and blended tracking the low end, echoing 2025's mid-year stall. The out-period math is demanding — hitting the FY +1.0-1.5% blended target requires ~1.3-1.8% blends over the back three quarters — so even a modest Q2 beat forces the Street to keep 2026 estimates flat-to-lower and defers the recovery to 2027. That asymmetry drives a mild negative day-1 residual that continues to bleed over five days (fade) as sell-side notes trim second-half blend/NOI assumptions and reiterate 'prove-it' until pricing actually inflects.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2026-07-29T02:02:26Z</dcterms:created>
  <dcterms:modified xsi:type="dcterms:W3CDTF">2026-07-29T02:02:26Z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