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MAA (Mid-America Apartment Communities) to build a comprehensive earnings preview. Let me start gathering data.Let me read the most recent earnings materials to understand current trends and guidance.Let me get recent stock price data and check for any recent news/analyst commentary.Let me quickly pull last year's Q2 2025 results for the year-over-year comparison baseline.# MAA (Mid-America Apartment Communities) — Q2 2026 Earnings Preview</w:t>
      </w:r>
    </w:p>
    <w:bookmarkStart w:id="9" w:name="X4b18257acdac49bc0ea761ddc56858ed837c22a"/>
    <w:p>
      <w:pPr>
        <w:pStyle w:val="Heading3"/>
      </w:pPr>
      <w:r>
        <w:t xml:space="preserve">Report date: Wednesday, July 29, 2026 (call July 30, 9:00 AM CT) | Recent price: ~$135.67 (7/28)</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MAA reports into a market that is watching for one thing above all:</w:t>
      </w:r>
      <w:r>
        <w:t xml:space="preserve"> </w:t>
      </w:r>
      <w:r>
        <w:rPr>
          <w:b/>
          <w:bCs/>
        </w:rPr>
        <w:t xml:space="preserve">evidence that new-lease pricing is finally inflecting off the bottom</w:t>
      </w:r>
      <w:r>
        <w:t xml:space="preserve"> </w:t>
      </w:r>
      <w:r>
        <w:t xml:space="preserve">after a multi-year Sunbelt supply glut. Management has framed 2026 as a transition year — a soft first half with momentum building into a "stronger 2027." Q2 is the quarter where that thesis either gets confirmed by the peak leasing season or gets pushed out again (as it was in 2025, when pricing stalled in mid-May).</w:t>
      </w:r>
    </w:p>
    <w:p>
      <w:r>
        <w:pict>
          <v:rect style="width:0;height:1.5pt" o:hralign="center" o:hrstd="t" o:hr="t"/>
        </w:pict>
      </w:r>
    </w:p>
    <w:bookmarkEnd w:id="10"/>
    <w:bookmarkStart w:id="11" w:name="what-management-guided-to-for-q2"/>
    <w:p>
      <w:pPr>
        <w:pStyle w:val="Heading2"/>
      </w:pPr>
      <w:r>
        <w:t xml:space="preserve">What management guided to for Q2</w:t>
      </w:r>
    </w:p>
    <w:p>
      <w:pPr>
        <w:pStyle w:val="FirstParagraph"/>
      </w:pPr>
      <w:r>
        <w:t xml:space="preserve">From the Q1 release, management guided</w:t>
      </w:r>
      <w:r>
        <w:t xml:space="preserve"> </w:t>
      </w:r>
      <w:r>
        <w:rPr>
          <w:b/>
          <w:bCs/>
        </w:rPr>
        <w:t xml:space="preserve">Q2 2026 Core FFO to</w:t>
      </w:r>
      <w:r>
        <w:rPr>
          <w:b/>
          <w:bCs/>
        </w:rPr>
        <w:t xml:space="preserve"> </w:t>
      </w:r>
      <m:oMath>
        <m:r>
          <m:t>2.00</m:t>
        </m:r>
        <m:r>
          <m:rPr>
            <m:sty m:val="p"/>
          </m:rPr>
          <m:t>–</m:t>
        </m:r>
      </m:oMath>
      <w:r>
        <w:rPr>
          <w:b/>
          <w:bCs/>
        </w:rPr>
        <w:t xml:space="preserve">2.12, midpoint $2.06</w:t>
      </w:r>
      <w:r>
        <w:t xml:space="preserve">. The sequential bridge from Q1's $2.13 is worth internalizing, because it explains why a</w:t>
      </w:r>
      <w:r>
        <w:t xml:space="preserve"> </w:t>
      </w:r>
      <w:r>
        <w:rPr>
          <w:i/>
          <w:iCs/>
        </w:rPr>
        <w:t xml:space="preserve">lower</w:t>
      </w:r>
      <w:r>
        <w:t xml:space="preserve"> </w:t>
      </w:r>
      <w:r>
        <w:t xml:space="preserve">headline number is not a negative surprise: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Q1→Q2 Core FFO bridge</w:t>
            </w:r>
          </w:p>
        </w:tc>
        <w:tc>
          <w:tcPr/>
          <w:p>
            <w:pPr>
              <w:pStyle w:val="Compact"/>
            </w:pPr>
            <w:r>
              <w:t xml:space="preserve">$/share</w:t>
            </w:r>
          </w:p>
        </w:tc>
      </w:tr>
      <w:tr>
        <w:tc>
          <w:tcPr/>
          <w:p>
            <w:pPr>
              <w:pStyle w:val="Compact"/>
            </w:pPr>
            <w:r>
              <w:t xml:space="preserve">Q1 2026 reported</w:t>
            </w:r>
          </w:p>
        </w:tc>
        <w:tc>
          <w:tcPr/>
          <w:p>
            <w:pPr>
              <w:pStyle w:val="Compact"/>
            </w:pPr>
            <w:r>
              <w:t xml:space="preserve">2.13</w:t>
            </w:r>
          </w:p>
        </w:tc>
      </w:tr>
      <w:tr>
        <w:tc>
          <w:tcPr/>
          <w:p>
            <w:pPr>
              <w:pStyle w:val="Compact"/>
            </w:pPr>
            <w:r>
              <w:t xml:space="preserve">Same-Store NOI (seasonal maintenance costs)</w:t>
            </w:r>
          </w:p>
        </w:tc>
        <w:tc>
          <w:tcPr/>
          <w:p>
            <w:pPr>
              <w:pStyle w:val="Compact"/>
            </w:pPr>
            <w:r>
              <w:t xml:space="preserve">(0.11)</w:t>
            </w:r>
          </w:p>
        </w:tc>
      </w:tr>
      <w:tr>
        <w:tc>
          <w:tcPr/>
          <w:p>
            <w:pPr>
              <w:pStyle w:val="Compact"/>
            </w:pPr>
            <w:r>
              <w:t xml:space="preserve">Total overhead</w:t>
            </w:r>
          </w:p>
        </w:tc>
        <w:tc>
          <w:tcPr/>
          <w:p>
            <w:pPr>
              <w:pStyle w:val="Compact"/>
            </w:pPr>
            <w:r>
              <w:t xml:space="preserve">+0.05</w:t>
            </w:r>
          </w:p>
        </w:tc>
      </w:tr>
      <w:tr>
        <w:tc>
          <w:tcPr/>
          <w:p>
            <w:pPr>
              <w:pStyle w:val="Compact"/>
            </w:pPr>
            <w:r>
              <w:t xml:space="preserve">Interest expense</w:t>
            </w:r>
          </w:p>
        </w:tc>
        <w:tc>
          <w:tcPr/>
          <w:p>
            <w:pPr>
              <w:pStyle w:val="Compact"/>
            </w:pPr>
            <w:r>
              <w:t xml:space="preserve">(0.02)</w:t>
            </w:r>
          </w:p>
        </w:tc>
      </w:tr>
      <w:tr>
        <w:tc>
          <w:tcPr/>
          <w:p>
            <w:pPr>
              <w:pStyle w:val="Compact"/>
            </w:pPr>
            <w:r>
              <w:t xml:space="preserve">Share repurchases</w:t>
            </w:r>
          </w:p>
        </w:tc>
        <w:tc>
          <w:tcPr/>
          <w:p>
            <w:pPr>
              <w:pStyle w:val="Compact"/>
            </w:pPr>
            <w:r>
              <w:t xml:space="preserve">+0.01</w:t>
            </w:r>
          </w:p>
        </w:tc>
      </w:tr>
      <w:tr>
        <w:tc>
          <w:tcPr/>
          <w:p>
            <w:pPr>
              <w:pStyle w:val="Compact"/>
            </w:pPr>
            <w:r>
              <w:rPr>
                <w:b/>
                <w:bCs/>
              </w:rPr>
              <w:t xml:space="preserve">Q2 2026 guidance midpoint</w:t>
            </w:r>
          </w:p>
        </w:tc>
        <w:tc>
          <w:tcPr/>
          <w:p>
            <w:pPr>
              <w:pStyle w:val="Compact"/>
            </w:pPr>
            <w:r>
              <w:rPr>
                <w:b/>
                <w:bCs/>
              </w:rPr>
              <w:t xml:space="preserve">2.06</w:t>
            </w:r>
          </w:p>
        </w:tc>
      </w:tr>
    </w:tbl>
    <w:p>
      <w:pPr>
        <w:pStyle w:val="BodyText"/>
      </w:pPr>
      <w:r>
        <w:t xml:space="preserve">The sequential step-down is almost entirely</w:t>
      </w:r>
      <w:r>
        <w:t xml:space="preserve"> </w:t>
      </w:r>
      <w:r>
        <w:rPr>
          <w:b/>
          <w:bCs/>
        </w:rPr>
        <w:t xml:space="preserve">seasonal repair/maintenance and turn costs</w:t>
      </w:r>
      <w:r>
        <w:t xml:space="preserve">, not a demand signal. Note the year-over-year optics: Q2 2025 Core FFO was</w:t>
      </w:r>
      <w:r>
        <w:t xml:space="preserve"> </w:t>
      </w:r>
      <w:r>
        <w:rPr>
          <w:b/>
          <w:bCs/>
        </w:rPr>
        <w:t xml:space="preserve">$2.15</w:t>
      </w:r>
      <w:r>
        <w:t xml:space="preserve">, so the $2.06 midpoint implies a</w:t>
      </w:r>
      <w:r>
        <w:t xml:space="preserve"> </w:t>
      </w:r>
      <w:r>
        <w:rPr>
          <w:b/>
          <w:bCs/>
        </w:rPr>
        <w:t xml:space="preserve">~4% YoY decline</w:t>
      </w:r>
      <w:r>
        <w:t xml:space="preserve"> </w:t>
      </w:r>
      <w:r>
        <w:t xml:space="preserve">— the trough of the cycle as the last wave of supply is absorbed.</w:t>
      </w:r>
    </w:p>
    <w:p>
      <w:pPr>
        <w:pStyle w:val="BodyText"/>
      </w:pPr>
      <w:r>
        <w:rPr>
          <w:b/>
          <w:bCs/>
        </w:rPr>
        <w:t xml:space="preserve">Full-year 2026 guidance (reaffirmed at Q1):</w:t>
      </w:r>
    </w:p>
    <w:p>
      <w:pPr>
        <w:pStyle w:val="Compact"/>
        <w:numPr>
          <w:ilvl w:val="0"/>
          <w:numId w:val="1001"/>
        </w:numPr>
      </w:pPr>
      <w:r>
        <w:t xml:space="preserve">Core FFO:</w:t>
      </w:r>
      <w:r>
        <w:t xml:space="preserve"> </w:t>
      </w:r>
      <m:oMath>
        <m:r>
          <m:t>8.37</m:t>
        </m:r>
        <m:r>
          <m:rPr>
            <m:sty m:val="p"/>
          </m:rPr>
          <m:t>–</m:t>
        </m:r>
      </m:oMath>
      <w:r>
        <w:rPr>
          <w:b/>
          <w:bCs/>
        </w:rPr>
        <w:t xml:space="preserve">8.69, midpoint $8.53</w:t>
      </w:r>
      <w:r>
        <w:t xml:space="preserve"> </w:t>
      </w:r>
      <w:r>
        <w:t xml:space="preserve">(range tightened at Q1; midpoint held). For context, 2025 came in around $8.77, so 2026 is a down year at the midpoint.</w:t>
      </w:r>
    </w:p>
    <w:p>
      <w:pPr>
        <w:pStyle w:val="Compact"/>
        <w:numPr>
          <w:ilvl w:val="0"/>
          <w:numId w:val="1001"/>
        </w:numPr>
      </w:pPr>
      <w:r>
        <w:t xml:space="preserve">Same-Store revenue growth:</w:t>
      </w:r>
      <w:r>
        <w:t xml:space="preserve"> </w:t>
      </w:r>
      <w:r>
        <w:rPr>
          <w:b/>
          <w:bCs/>
        </w:rPr>
        <w:t xml:space="preserve">-0.20% to +1.30%</w:t>
      </w:r>
      <w:r>
        <w:t xml:space="preserve"> </w:t>
      </w:r>
      <w:r>
        <w:t xml:space="preserve">(mid +0.55%)</w:t>
      </w:r>
    </w:p>
    <w:p>
      <w:pPr>
        <w:pStyle w:val="Compact"/>
        <w:numPr>
          <w:ilvl w:val="0"/>
          <w:numId w:val="1001"/>
        </w:numPr>
      </w:pPr>
      <w:r>
        <w:t xml:space="preserve">Same-Store expense growth:</w:t>
      </w:r>
      <w:r>
        <w:t xml:space="preserve"> </w:t>
      </w:r>
      <w:r>
        <w:rPr>
          <w:b/>
          <w:bCs/>
        </w:rPr>
        <w:t xml:space="preserve">+1.90% to +3.40%</w:t>
      </w:r>
      <w:r>
        <w:t xml:space="preserve"> </w:t>
      </w:r>
      <w:r>
        <w:t xml:space="preserve">(mid +2.65%)</w:t>
      </w:r>
    </w:p>
    <w:p>
      <w:pPr>
        <w:pStyle w:val="Compact"/>
        <w:numPr>
          <w:ilvl w:val="0"/>
          <w:numId w:val="1001"/>
        </w:numPr>
      </w:pPr>
      <w:r>
        <w:t xml:space="preserve">Same-Store NOI growth:</w:t>
      </w:r>
      <w:r>
        <w:t xml:space="preserve"> </w:t>
      </w:r>
      <w:r>
        <w:rPr>
          <w:b/>
          <w:bCs/>
        </w:rPr>
        <w:t xml:space="preserve">-1.70% to +0.30%</w:t>
      </w:r>
      <w:r>
        <w:t xml:space="preserve"> </w:t>
      </w:r>
      <w:r>
        <w:t xml:space="preserve">(mid -0.70%)</w:t>
      </w:r>
    </w:p>
    <w:p>
      <w:pPr>
        <w:pStyle w:val="FirstParagraph"/>
      </w:pPr>
      <w:r>
        <w:rPr>
          <w:b/>
          <w:bCs/>
        </w:rPr>
        <w:t xml:space="preserve">Key debate #1 — will they raise the full-year guide?</w:t>
      </w:r>
      <w:r>
        <w:t xml:space="preserve"> </w:t>
      </w:r>
      <w:r>
        <w:t xml:space="preserve">MAA beat its own Q1 Core FFO guidance by $0.02 (driven by expense timing) but chose only to</w:t>
      </w:r>
      <w:r>
        <w:t xml:space="preserve"> </w:t>
      </w:r>
      <w:r>
        <w:rPr>
          <w:i/>
          <w:iCs/>
        </w:rPr>
        <w:t xml:space="preserve">tighten</w:t>
      </w:r>
      <w:r>
        <w:t xml:space="preserve"> </w:t>
      </w:r>
      <w:r>
        <w:t xml:space="preserve">the range rather than lift the midpoint, citing residual macro uncertainty. With one more quarter of data and the bulk of leasing season captured, the market will look for either (a) a midpoint raise on continued expense discipline / better blends, or (b) a reaffirmation that signals pricing is tracking but not yet beating plan. Watch whether the Same-Store revenue and NOI ranges move up.</w:t>
      </w:r>
    </w:p>
    <w:p>
      <w:r>
        <w:pict>
          <v:rect style="width:0;height:1.5pt" o:hralign="center" o:hrstd="t" o:hr="t"/>
        </w:pict>
      </w:r>
    </w:p>
    <w:bookmarkEnd w:id="11"/>
    <w:bookmarkStart w:id="12" w:name="Xfe672a33a84653a4792a8376752106868e99f1a"/>
    <w:p>
      <w:pPr>
        <w:pStyle w:val="Heading2"/>
      </w:pPr>
      <w:r>
        <w:t xml:space="preserve">The core operating story: pricing trajectory</w:t>
      </w:r>
    </w:p>
    <w:p>
      <w:pPr>
        <w:pStyle w:val="FirstParagraph"/>
      </w:pPr>
      <w:r>
        <w:t xml:space="preserve">This is the crux of the report. Here is the recent lease-rate progression: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Q4 2025</w:t>
            </w:r>
          </w:p>
        </w:tc>
        <w:tc>
          <w:tcPr/>
          <w:p>
            <w:pPr>
              <w:pStyle w:val="Compact"/>
            </w:pPr>
            <w:r>
              <w:t xml:space="preserve">Q1 2026</w:t>
            </w:r>
          </w:p>
        </w:tc>
        <w:tc>
          <w:tcPr/>
          <w:p>
            <w:pPr>
              <w:pStyle w:val="Compact"/>
            </w:pPr>
            <w:r>
              <w:t xml:space="preserve">Q2 2025 (yr-ago)</w:t>
            </w:r>
          </w:p>
        </w:tc>
      </w:tr>
      <w:tr>
        <w:tc>
          <w:tcPr/>
          <w:p>
            <w:pPr>
              <w:pStyle w:val="Compact"/>
            </w:pPr>
            <w:r>
              <w:t xml:space="preserve">Blended lease growth</w:t>
            </w:r>
          </w:p>
        </w:tc>
        <w:tc>
          <w:tcPr/>
          <w:p>
            <w:pPr>
              <w:pStyle w:val="Compact"/>
            </w:pPr>
            <w:r>
              <w:t xml:space="preserve">-1.7% (implied)</w:t>
            </w:r>
          </w:p>
        </w:tc>
        <w:tc>
          <w:tcPr/>
          <w:p>
            <w:pPr>
              <w:pStyle w:val="Compact"/>
            </w:pPr>
            <w:r>
              <w:rPr>
                <w:b/>
                <w:bCs/>
              </w:rPr>
              <w:t xml:space="preserve">-0.3%</w:t>
            </w:r>
          </w:p>
        </w:tc>
        <w:tc>
          <w:tcPr/>
          <w:p>
            <w:pPr>
              <w:pStyle w:val="Compact"/>
            </w:pPr>
            <w:r>
              <w:t xml:space="preserve">+0.5%</w:t>
            </w:r>
          </w:p>
        </w:tc>
      </w:tr>
      <w:tr>
        <w:tc>
          <w:tcPr/>
          <w:p>
            <w:pPr>
              <w:pStyle w:val="Compact"/>
            </w:pPr>
            <w:r>
              <w:t xml:space="preserve">New lease growth</w:t>
            </w:r>
          </w:p>
        </w:tc>
        <w:tc>
          <w:tcPr/>
          <w:p>
            <w:pPr>
              <w:pStyle w:val="Compact"/>
            </w:pPr>
            <w:r>
              <w:t xml:space="preserve">~-8.1% (implied)</w:t>
            </w:r>
          </w:p>
        </w:tc>
        <w:tc>
          <w:tcPr/>
          <w:p>
            <w:pPr>
              <w:pStyle w:val="Compact"/>
            </w:pPr>
            <w:r>
              <w:rPr>
                <w:b/>
                <w:bCs/>
              </w:rPr>
              <w:t xml:space="preserve">-7.0%</w:t>
            </w:r>
          </w:p>
        </w:tc>
        <w:tc>
          <w:tcPr/>
          <w:p>
            <w:pPr>
              <w:pStyle w:val="Compact"/>
            </w:pPr>
            <w:r>
              <w:t xml:space="preserve">-4.8%</w:t>
            </w:r>
          </w:p>
        </w:tc>
      </w:tr>
      <w:tr>
        <w:tc>
          <w:tcPr/>
          <w:p>
            <w:pPr>
              <w:pStyle w:val="Compact"/>
            </w:pPr>
            <w:r>
              <w:t xml:space="preserve">Renewal growth</w:t>
            </w:r>
          </w:p>
        </w:tc>
        <w:tc>
          <w:tcPr/>
          <w:p>
            <w:pPr>
              <w:pStyle w:val="Compact"/>
            </w:pPr>
            <w:r>
              <w:t xml:space="preserve">~4.7%</w:t>
            </w:r>
          </w:p>
        </w:tc>
        <w:tc>
          <w:tcPr/>
          <w:p>
            <w:pPr>
              <w:pStyle w:val="Compact"/>
            </w:pPr>
            <w:r>
              <w:rPr>
                <w:b/>
                <w:bCs/>
              </w:rPr>
              <w:t xml:space="preserve">+5.4%</w:t>
            </w:r>
          </w:p>
        </w:tc>
        <w:tc>
          <w:tcPr/>
          <w:p>
            <w:pPr>
              <w:pStyle w:val="Compact"/>
            </w:pPr>
            <w:r>
              <w:t xml:space="preserve">+4.7%</w:t>
            </w:r>
          </w:p>
        </w:tc>
      </w:tr>
      <w:tr>
        <w:tc>
          <w:tcPr/>
          <w:p>
            <w:pPr>
              <w:pStyle w:val="Compact"/>
            </w:pPr>
            <w:r>
              <w:t xml:space="preserve">Avg physical occupancy</w:t>
            </w:r>
          </w:p>
        </w:tc>
        <w:tc>
          <w:tcPr/>
          <w:p>
            <w:pPr>
              <w:pStyle w:val="Compact"/>
            </w:pPr>
            <w:r>
              <w:t xml:space="preserve">—</w:t>
            </w:r>
          </w:p>
        </w:tc>
        <w:tc>
          <w:tcPr/>
          <w:p>
            <w:pPr>
              <w:pStyle w:val="Compact"/>
            </w:pPr>
            <w:r>
              <w:rPr>
                <w:b/>
                <w:bCs/>
              </w:rPr>
              <w:t xml:space="preserve">95.5%</w:t>
            </w:r>
          </w:p>
        </w:tc>
        <w:tc>
          <w:tcPr/>
          <w:p>
            <w:pPr>
              <w:pStyle w:val="Compact"/>
            </w:pPr>
            <w:r>
              <w:t xml:space="preserve">95.4%</w:t>
            </w:r>
          </w:p>
        </w:tc>
      </w:tr>
    </w:tbl>
    <w:p>
      <w:pPr>
        <w:pStyle w:val="BodyText"/>
      </w:pPr>
      <w:r>
        <w:t xml:space="preserve">What management told us to expect for Q2 and beyond:</w:t>
      </w:r>
    </w:p>
    <w:p>
      <w:pPr>
        <w:pStyle w:val="Compact"/>
        <w:numPr>
          <w:ilvl w:val="0"/>
          <w:numId w:val="1002"/>
        </w:numPr>
      </w:pPr>
      <w:r>
        <w:rPr>
          <w:b/>
          <w:bCs/>
        </w:rPr>
        <w:t xml:space="preserve">New-lease pricing</w:t>
      </w:r>
      <w:r>
        <w:t xml:space="preserve"> </w:t>
      </w:r>
      <w:r>
        <w:t xml:space="preserve">should keep accelerating "through about July, then moderate seasonally" — but with</w:t>
      </w:r>
      <w:r>
        <w:t xml:space="preserve"> </w:t>
      </w:r>
      <w:r>
        <w:rPr>
          <w:i/>
          <w:iCs/>
        </w:rPr>
        <w:t xml:space="preserve">less</w:t>
      </w:r>
      <w:r>
        <w:t xml:space="preserve"> </w:t>
      </w:r>
      <w:r>
        <w:t xml:space="preserve">back-half moderation than a normal year as supply eases.</w:t>
      </w:r>
    </w:p>
    <w:p>
      <w:pPr>
        <w:pStyle w:val="Compact"/>
        <w:numPr>
          <w:ilvl w:val="0"/>
          <w:numId w:val="1002"/>
        </w:numPr>
      </w:pPr>
      <w:r>
        <w:rPr>
          <w:b/>
          <w:bCs/>
        </w:rPr>
        <w:t xml:space="preserve">Renewals</w:t>
      </w:r>
      <w:r>
        <w:t xml:space="preserve"> </w:t>
      </w:r>
      <w:r>
        <w:t xml:space="preserve">should stay in the</w:t>
      </w:r>
      <w:r>
        <w:t xml:space="preserve"> </w:t>
      </w:r>
      <w:r>
        <w:rPr>
          <w:b/>
          <w:bCs/>
        </w:rPr>
        <w:t xml:space="preserve">5%+</w:t>
      </w:r>
      <w:r>
        <w:t xml:space="preserve"> </w:t>
      </w:r>
      <w:r>
        <w:t xml:space="preserve">range and remain consistent.</w:t>
      </w:r>
    </w:p>
    <w:p>
      <w:pPr>
        <w:pStyle w:val="Compact"/>
        <w:numPr>
          <w:ilvl w:val="0"/>
          <w:numId w:val="1002"/>
        </w:numPr>
      </w:pPr>
      <w:r>
        <w:t xml:space="preserve">To hit the full-year</w:t>
      </w:r>
      <w:r>
        <w:t xml:space="preserve"> </w:t>
      </w:r>
      <w:r>
        <w:rPr>
          <w:b/>
          <w:bCs/>
        </w:rPr>
        <w:t xml:space="preserve">1.0%–1.5% blended</w:t>
      </w:r>
      <w:r>
        <w:t xml:space="preserve"> </w:t>
      </w:r>
      <w:r>
        <w:t xml:space="preserve">target, the last three quarters need to run</w:t>
      </w:r>
      <w:r>
        <w:t xml:space="preserve"> </w:t>
      </w:r>
      <w:r>
        <w:rPr>
          <w:b/>
          <w:bCs/>
        </w:rPr>
        <w:t xml:space="preserve">~1.3%–1.8% blended</w:t>
      </w:r>
      <w:r>
        <w:t xml:space="preserve">. Q2 is the first big test of that ramp.</w:t>
      </w:r>
    </w:p>
    <w:p>
      <w:pPr>
        <w:pStyle w:val="FirstParagraph"/>
      </w:pPr>
      <w:r>
        <w:rPr>
          <w:b/>
          <w:bCs/>
        </w:rPr>
        <w:t xml:space="preserve">Positive leading indicators cited at Q1:</w:t>
      </w:r>
    </w:p>
    <w:p>
      <w:pPr>
        <w:pStyle w:val="Compact"/>
        <w:numPr>
          <w:ilvl w:val="0"/>
          <w:numId w:val="1003"/>
        </w:numPr>
      </w:pPr>
      <w:r>
        <w:t xml:space="preserve">April occupancy 95.5% (in line with 2025);</w:t>
      </w:r>
      <w:r>
        <w:t xml:space="preserve"> </w:t>
      </w:r>
      <w:r>
        <w:rPr>
          <w:b/>
          <w:bCs/>
        </w:rPr>
        <w:t xml:space="preserve">60-day exposure of 8.3%, 20 bps better than a year ago</w:t>
      </w:r>
      <w:r>
        <w:t xml:space="preserve"> </w:t>
      </w:r>
      <w:r>
        <w:t xml:space="preserve">— a good entry point into peak season.</w:t>
      </w:r>
    </w:p>
    <w:p>
      <w:pPr>
        <w:pStyle w:val="Compact"/>
        <w:numPr>
          <w:ilvl w:val="0"/>
          <w:numId w:val="1003"/>
        </w:numPr>
      </w:pPr>
      <w:r>
        <w:t xml:space="preserve">Lead volume running ahead of last year; absorption exceeded new deliveries in Q1.</w:t>
      </w:r>
    </w:p>
    <w:p>
      <w:pPr>
        <w:pStyle w:val="Compact"/>
        <w:numPr>
          <w:ilvl w:val="0"/>
          <w:numId w:val="1003"/>
        </w:numPr>
      </w:pPr>
      <w:r>
        <w:t xml:space="preserve">Concessions ticking down slightly — ~60–65% of competitors offering ~4–5 weeks, edging lower in April.</w:t>
      </w:r>
    </w:p>
    <w:p>
      <w:pPr>
        <w:pStyle w:val="Compact"/>
        <w:numPr>
          <w:ilvl w:val="0"/>
          <w:numId w:val="1003"/>
        </w:numPr>
      </w:pPr>
      <w:r>
        <w:t xml:space="preserve">New supply in MAA's region is</w:t>
      </w:r>
      <w:r>
        <w:t xml:space="preserve"> </w:t>
      </w:r>
      <w:r>
        <w:rPr>
          <w:b/>
          <w:bCs/>
        </w:rPr>
        <w:t xml:space="preserve">down ~40% year-over-year</w:t>
      </w:r>
      <w:r>
        <w:t xml:space="preserve"> </w:t>
      </w:r>
      <w:r>
        <w:t xml:space="preserve">in 2026.</w:t>
      </w:r>
    </w:p>
    <w:p>
      <w:pPr>
        <w:pStyle w:val="FirstParagraph"/>
      </w:pPr>
      <w:r>
        <w:rPr>
          <w:b/>
          <w:bCs/>
        </w:rPr>
        <w:t xml:space="preserve">Watch for:</w:t>
      </w:r>
      <w:r>
        <w:t xml:space="preserve"> </w:t>
      </w:r>
      <w:r>
        <w:t xml:space="preserve">the actual Q2 blended number vs. the implied ramp, plus updated May/June/July new-lease commentary. The bull case needs June/July new lease growth to</w:t>
      </w:r>
      <w:r>
        <w:t xml:space="preserve"> </w:t>
      </w:r>
      <w:r>
        <w:rPr>
          <w:i/>
          <w:iCs/>
        </w:rPr>
        <w:t xml:space="preserve">not</w:t>
      </w:r>
      <w:r>
        <w:t xml:space="preserve"> </w:t>
      </w:r>
      <w:r>
        <w:t xml:space="preserve">replicate last year's mid-May stall.</w:t>
      </w:r>
    </w:p>
    <w:p>
      <w:r>
        <w:pict>
          <v:rect style="width:0;height:1.5pt" o:hralign="center" o:hrstd="t" o:hr="t"/>
        </w:pict>
      </w:r>
    </w:p>
    <w:bookmarkEnd w:id="12"/>
    <w:bookmarkStart w:id="13" w:name="market-level-dynamics-to-listen-for"/>
    <w:p>
      <w:pPr>
        <w:pStyle w:val="Heading2"/>
      </w:pPr>
      <w:r>
        <w:t xml:space="preserve">Market-level dynamics to listen for</w:t>
      </w:r>
    </w:p>
    <w:p>
      <w:pPr>
        <w:pStyle w:val="Compact"/>
        <w:numPr>
          <w:ilvl w:val="0"/>
          <w:numId w:val="1004"/>
        </w:numPr>
      </w:pPr>
      <w:r>
        <w:rPr>
          <w:b/>
          <w:bCs/>
        </w:rPr>
        <w:t xml:space="preserve">Outperformers:</w:t>
      </w:r>
      <w:r>
        <w:t xml:space="preserve"> </w:t>
      </w:r>
      <w:r>
        <w:t xml:space="preserve">Dallas (blends +240 bps YoY in Q1), Atlanta and Orlando (MAA's three largest NOI markets, all beating the portfolio on blends), plus mid-tier winners Richmond, Greenville, DC-area, Charleston.</w:t>
      </w:r>
    </w:p>
    <w:p>
      <w:pPr>
        <w:pStyle w:val="Compact"/>
        <w:numPr>
          <w:ilvl w:val="0"/>
          <w:numId w:val="1004"/>
        </w:numPr>
      </w:pPr>
      <w:r>
        <w:rPr>
          <w:b/>
          <w:bCs/>
        </w:rPr>
        <w:t xml:space="preserve">Laggards:</w:t>
      </w:r>
      <w:r>
        <w:t xml:space="preserve"> </w:t>
      </w:r>
      <w:r>
        <w:t xml:space="preserve">Austin (still challenged on new lease), Charlotte (framed as a 2027 recovery story), Savannah, Nashville, and pockets of suburban Dallas (Allen/McKinney) and Atlanta (Duluth, Smyrna). Phoenix showing early signs of stabilization.</w:t>
      </w:r>
    </w:p>
    <w:p>
      <w:r>
        <w:pict>
          <v:rect style="width:0;height:1.5pt" o:hralign="center" o:hrstd="t" o:hr="t"/>
        </w:pict>
      </w:r>
    </w:p>
    <w:bookmarkEnd w:id="13"/>
    <w:bookmarkStart w:id="14" w:name="other-things-that-matter"/>
    <w:p>
      <w:pPr>
        <w:pStyle w:val="Heading2"/>
      </w:pPr>
      <w:r>
        <w:t xml:space="preserve">Other things that matter</w:t>
      </w:r>
    </w:p>
    <w:p>
      <w:pPr>
        <w:pStyle w:val="FirstParagraph"/>
      </w:pPr>
      <w:r>
        <w:rPr>
          <w:b/>
          <w:bCs/>
        </w:rPr>
        <w:t xml:space="preserve">Expense control / margins.</w:t>
      </w:r>
      <w:r>
        <w:t xml:space="preserve"> </w:t>
      </w:r>
      <w:r>
        <w:t xml:space="preserve">Q1 upside came from R&amp;M, personnel, and marketing running below plan. Also watch</w:t>
      </w:r>
      <w:r>
        <w:t xml:space="preserve"> </w:t>
      </w:r>
      <w:r>
        <w:rPr>
          <w:b/>
          <w:bCs/>
        </w:rPr>
        <w:t xml:space="preserve">real estate taxes and insurance</w:t>
      </w:r>
      <w:r>
        <w:t xml:space="preserve"> </w:t>
      </w:r>
      <w:r>
        <w:t xml:space="preserve">— the swing factor for the +2.65% expense guide — and the</w:t>
      </w:r>
      <w:r>
        <w:t xml:space="preserve"> </w:t>
      </w:r>
      <w:r>
        <w:rPr>
          <w:b/>
          <w:bCs/>
        </w:rPr>
        <w:t xml:space="preserve">WiFi retrofit</w:t>
      </w:r>
      <w:r>
        <w:t xml:space="preserve"> </w:t>
      </w:r>
      <w:r>
        <w:t xml:space="preserve">ramp (~$3M of 2026 revenue, heavily back-loaded, compounding into 2027) plus the redevelopment/repositioning programs (17% cash-on-cash on interior upgrades; 10%+ NOI yields on amenity repositioning).</w:t>
      </w:r>
    </w:p>
    <w:p>
      <w:pPr>
        <w:pStyle w:val="BodyText"/>
      </w:pPr>
      <w:r>
        <w:rPr>
          <w:b/>
          <w:bCs/>
        </w:rPr>
        <w:t xml:space="preserve">Capital allocation.</w:t>
      </w:r>
      <w:r>
        <w:t xml:space="preserve"> </w:t>
      </w:r>
      <w:r>
        <w:t xml:space="preserve">MAA repurchased</w:t>
      </w:r>
      <w:r>
        <w:t xml:space="preserve"> </w:t>
      </w:r>
      <m:oMath>
        <m:r>
          <m:t>73</m:t>
        </m:r>
        <m:r>
          <m:t>M</m:t>
        </m:r>
        <m:r>
          <m:t>o</m:t>
        </m:r>
        <m:r>
          <m:t>f</m:t>
        </m:r>
        <m:r>
          <m:t>s</m:t>
        </m:r>
        <m:r>
          <m:t>t</m:t>
        </m:r>
        <m:r>
          <m:t>o</m:t>
        </m:r>
        <m:r>
          <m:t>c</m:t>
        </m:r>
        <m:r>
          <m:t>k</m:t>
        </m:r>
        <m:r>
          <m:t>i</m:t>
        </m:r>
        <m:r>
          <m:t>n</m:t>
        </m:r>
        <m:r>
          <m:t>Q</m:t>
        </m:r>
        <m:r>
          <m:t>1</m:t>
        </m:r>
        <m:r>
          <m:t>a</m:t>
        </m:r>
        <m:r>
          <m:t>t</m:t>
        </m:r>
        <m:r>
          <m:t> </m:t>
        </m:r>
      </m:oMath>
      <w:r>
        <w:rPr>
          <w:b/>
          <w:bCs/>
        </w:rPr>
        <w:t xml:space="preserve">130.46/share</w:t>
      </w:r>
      <w:r>
        <w:t xml:space="preserve"> </w:t>
      </w:r>
      <w:r>
        <w:t xml:space="preserve">and has signaled buybacks are the preferred near-term use of capital given shares trade at a discount to private-market value (acquisition cap rates ~4.5%, development yields "mid-6s"). With the stock recovering to ~$135, watch whether repurchase pace was sustained in Q2 (the settlement of a litigation matter also drew on the balance sheet). Net debt/EBITDA was 4.5x at Q1 (up from 4.0x a year ago) — management is protective of the balance sheet, so expect discipline.</w:t>
      </w:r>
    </w:p>
    <w:p>
      <w:pPr>
        <w:pStyle w:val="BodyText"/>
      </w:pPr>
      <w:r>
        <w:rPr>
          <w:b/>
          <w:bCs/>
        </w:rPr>
        <w:t xml:space="preserve">Development.</w:t>
      </w:r>
      <w:r>
        <w:t xml:space="preserve"> </w:t>
      </w:r>
      <w:r>
        <w:t xml:space="preserve">2026 development spend was cut to</w:t>
      </w:r>
      <w:r>
        <w:t xml:space="preserve"> </w:t>
      </w:r>
      <w:r>
        <w:rPr>
          <w:b/>
          <w:bCs/>
        </w:rPr>
        <w:t xml:space="preserve">$350M / ~4 starts</w:t>
      </w:r>
      <w:r>
        <w:t xml:space="preserve"> </w:t>
      </w:r>
      <w:r>
        <w:t xml:space="preserve">(from</w:t>
      </w:r>
      <w:r>
        <w:t xml:space="preserve"> </w:t>
      </w:r>
      <m:oMath>
        <m:r>
          <m:t>400</m:t>
        </m:r>
        <m:r>
          <m:t>M</m:t>
        </m:r>
        <m:r>
          <m:rPr>
            <m:sty m:val="p"/>
          </m:rPr>
          <m:t>/</m:t>
        </m:r>
        <m:r>
          <m:t>5</m:t>
        </m:r>
        <m:r>
          <m:rPr>
            <m:sty m:val="p"/>
          </m:rPr>
          <m:t>–</m:t>
        </m:r>
        <m:r>
          <m:t>7</m:t>
        </m:r>
        <m:r>
          <m:rPr>
            <m:sty m:val="p"/>
          </m:rPr>
          <m:t>)</m:t>
        </m:r>
        <m:r>
          <m:rPr>
            <m:sty m:val="p"/>
          </m:rPr>
          <m:t>,</m:t>
        </m:r>
        <m:r>
          <m:t>f</m:t>
        </m:r>
        <m:r>
          <m:t>r</m:t>
        </m:r>
        <m:r>
          <m:t>a</m:t>
        </m:r>
        <m:r>
          <m:t>m</m:t>
        </m:r>
        <m:r>
          <m:t>e</m:t>
        </m:r>
        <m:r>
          <m:t>d</m:t>
        </m:r>
        <m:r>
          <m:t>p</m:t>
        </m:r>
        <m:r>
          <m:t>u</m:t>
        </m:r>
        <m:r>
          <m:t>r</m:t>
        </m:r>
        <m:r>
          <m:t>e</m:t>
        </m:r>
        <m:r>
          <m:t>l</m:t>
        </m:r>
        <m:r>
          <m:t>y</m:t>
        </m:r>
        <m:r>
          <m:t>a</m:t>
        </m:r>
        <m:r>
          <m:t>s</m:t>
        </m:r>
        <m:r>
          <m:t>t</m:t>
        </m:r>
        <m:r>
          <m:t>i</m:t>
        </m:r>
        <m:r>
          <m:t>m</m:t>
        </m:r>
        <m:r>
          <m:t>i</m:t>
        </m:r>
        <m:r>
          <m:t>n</m:t>
        </m:r>
        <m:r>
          <m:t>g</m:t>
        </m:r>
        <m:r>
          <m:rPr>
            <m:sty m:val="p"/>
          </m:rPr>
          <m:t>/</m:t>
        </m:r>
        <m:r>
          <m:t>a</m:t>
        </m:r>
        <m:r>
          <m:t>p</m:t>
        </m:r>
        <m:r>
          <m:t>p</m:t>
        </m:r>
        <m:r>
          <m:t>r</m:t>
        </m:r>
        <m:r>
          <m:t>o</m:t>
        </m:r>
        <m:r>
          <m:t>v</m:t>
        </m:r>
        <m:r>
          <m:t>a</m:t>
        </m:r>
        <m:r>
          <m:t>l</m:t>
        </m:r>
        <m:r>
          <m:t>s</m:t>
        </m:r>
        <m:r>
          <m:t>l</m:t>
        </m:r>
        <m:r>
          <m:t>i</m:t>
        </m:r>
        <m:r>
          <m:t>p</m:t>
        </m:r>
        <m:r>
          <m:t>p</m:t>
        </m:r>
        <m:r>
          <m:t>a</m:t>
        </m:r>
        <m:r>
          <m:t>g</m:t>
        </m:r>
        <m:r>
          <m:t>e</m:t>
        </m:r>
        <m:r>
          <m:rPr>
            <m:sty m:val="p"/>
          </m:rPr>
          <m:t>,</m:t>
        </m:r>
        <m:r>
          <m:t>n</m:t>
        </m:r>
        <m:r>
          <m:t>o</m:t>
        </m:r>
        <m:r>
          <m:t>t</m:t>
        </m:r>
        <m:r>
          <m:t>a</m:t>
        </m:r>
        <m:r>
          <m:t>s</m:t>
        </m:r>
        <m:r>
          <m:t>t</m:t>
        </m:r>
        <m:r>
          <m:t>r</m:t>
        </m:r>
        <m:r>
          <m:t>a</m:t>
        </m:r>
        <m:r>
          <m:t>t</m:t>
        </m:r>
        <m:r>
          <m:t>e</m:t>
        </m:r>
        <m:r>
          <m:t>g</m:t>
        </m:r>
        <m:r>
          <m:t>i</m:t>
        </m:r>
        <m:r>
          <m:t>c</m:t>
        </m:r>
        <m:r>
          <m:t>p</m:t>
        </m:r>
        <m:r>
          <m:t>u</m:t>
        </m:r>
        <m:r>
          <m:t>l</m:t>
        </m:r>
        <m:r>
          <m:t>l</m:t>
        </m:r>
        <m:r>
          <m:t>b</m:t>
        </m:r>
        <m:r>
          <m:t>a</m:t>
        </m:r>
        <m:r>
          <m:t>c</m:t>
        </m:r>
        <m:r>
          <m:t>k</m:t>
        </m:r>
        <m:r>
          <m:rPr>
            <m:sty m:val="p"/>
          </m:rPr>
          <m:t>.</m:t>
        </m:r>
        <m:r>
          <m:t>T</m:t>
        </m:r>
        <m:r>
          <m:t>h</m:t>
        </m:r>
        <m:r>
          <m:t>e</m:t>
        </m:r>
        <m:r>
          <m:t>p</m:t>
        </m:r>
        <m:r>
          <m:t>i</m:t>
        </m:r>
        <m:r>
          <m:t>p</m:t>
        </m:r>
        <m:r>
          <m:t>e</m:t>
        </m:r>
        <m:r>
          <m:t>l</m:t>
        </m:r>
        <m:r>
          <m:t>i</m:t>
        </m:r>
        <m:r>
          <m:t>n</m:t>
        </m:r>
        <m:r>
          <m:t>e</m:t>
        </m:r>
        <m:r>
          <m:t>s</m:t>
        </m:r>
        <m:r>
          <m:t>t</m:t>
        </m:r>
        <m:r>
          <m:t>o</m:t>
        </m:r>
        <m:r>
          <m:t>o</m:t>
        </m:r>
        <m:r>
          <m:t>d</m:t>
        </m:r>
        <m:r>
          <m:t>a</m:t>
        </m:r>
        <m:r>
          <m:t>t</m:t>
        </m:r>
        <m:r>
          <m:t> </m:t>
        </m:r>
      </m:oMath>
      <w:r>
        <w:t xml:space="preserve">623M at Q1 and management wants to grow it toward $1.0–1.2B. Given peers are now talking about</w:t>
      </w:r>
      <w:r>
        <w:t xml:space="preserve"> </w:t>
      </w:r>
      <w:r>
        <w:rPr>
          <w:i/>
          <w:iCs/>
        </w:rPr>
        <w:t xml:space="preserve">ramping</w:t>
      </w:r>
      <w:r>
        <w:t xml:space="preserve"> </w:t>
      </w:r>
      <w:r>
        <w:t xml:space="preserve">development into the recovery, watch whether MAA leans in or stays cautious.</w:t>
      </w:r>
    </w:p>
    <w:p>
      <w:pPr>
        <w:pStyle w:val="BodyText"/>
      </w:pPr>
      <w:r>
        <w:rPr>
          <w:b/>
          <w:bCs/>
        </w:rPr>
        <w:t xml:space="preserve">Dividend.</w:t>
      </w:r>
      <w:r>
        <w:t xml:space="preserve"> </w:t>
      </w:r>
      <w:r>
        <w:t xml:space="preserve">Annual rate</w:t>
      </w:r>
      <w:r>
        <w:t xml:space="preserve"> </w:t>
      </w:r>
      <w:r>
        <w:rPr>
          <w:b/>
          <w:bCs/>
        </w:rPr>
        <w:t xml:space="preserve">$6.12</w:t>
      </w:r>
      <w:r>
        <w:t xml:space="preserve"> </w:t>
      </w:r>
      <w:r>
        <w:t xml:space="preserve">(129 consecutive quarterly dividends), with a Core FFO payout ratio in the low-70s% — well-covered. No dividend drama expected.</w:t>
      </w:r>
    </w:p>
    <w:p>
      <w:r>
        <w:pict>
          <v:rect style="width:0;height:1.5pt" o:hralign="center" o:hrstd="t" o:hr="t"/>
        </w:pict>
      </w:r>
    </w:p>
    <w:bookmarkEnd w:id="14"/>
    <w:bookmarkStart w:id="15" w:name="stock-context"/>
    <w:p>
      <w:pPr>
        <w:pStyle w:val="Heading2"/>
      </w:pPr>
      <w:r>
        <w:t xml:space="preserve">Stock context</w:t>
      </w:r>
    </w:p>
    <w:p>
      <w:pPr>
        <w:pStyle w:val="FirstParagraph"/>
      </w:pPr>
      <w:r>
        <w:t xml:space="preserve">MAA is roughly</w:t>
      </w:r>
      <w:r>
        <w:t xml:space="preserve"> </w:t>
      </w:r>
      <w:r>
        <w:rPr>
          <w:b/>
          <w:bCs/>
        </w:rPr>
        <w:t xml:space="preserve">flat-to-down ~2% YTD</w:t>
      </w:r>
      <w:r>
        <w:t xml:space="preserve"> </w:t>
      </w:r>
      <w:r>
        <w:t xml:space="preserve">(opened 2026 near</w:t>
      </w:r>
      <w:r>
        <w:t xml:space="preserve"> </w:t>
      </w:r>
      <m:oMath>
        <m:r>
          <m:t>139</m:t>
        </m:r>
        <m:r>
          <m:rPr>
            <m:sty m:val="p"/>
          </m:rPr>
          <m:t>,</m:t>
        </m:r>
        <m:r>
          <m:t>s</m:t>
        </m:r>
        <m:r>
          <m:t>i</m:t>
        </m:r>
        <m:r>
          <m:t>t</m:t>
        </m:r>
        <m:r>
          <m:t>s</m:t>
        </m:r>
        <m:r>
          <m:t> </m:t>
        </m:r>
      </m:oMath>
      <w:r>
        <w:t xml:space="preserve">135.67), having round-tripped from a late-March/April low near $120 back up ~13%. The stock has been treated as a "show-me" name on the pricing inflection. Because the Q2 Core FFO step-down is already telegraphed, the share-price reaction will hinge less on the headline print and more on:</w:t>
      </w:r>
    </w:p>
    <w:p>
      <w:pPr>
        <w:pStyle w:val="Compact"/>
        <w:numPr>
          <w:ilvl w:val="0"/>
          <w:numId w:val="1005"/>
        </w:numPr>
      </w:pPr>
      <w:r>
        <w:rPr>
          <w:b/>
          <w:bCs/>
        </w:rPr>
        <w:t xml:space="preserve">The direction of full-year guidance</w:t>
      </w:r>
      <w:r>
        <w:t xml:space="preserve"> </w:t>
      </w:r>
      <w:r>
        <w:t xml:space="preserve">(raise vs. hold),</w:t>
      </w:r>
    </w:p>
    <w:p>
      <w:pPr>
        <w:pStyle w:val="Compact"/>
        <w:numPr>
          <w:ilvl w:val="0"/>
          <w:numId w:val="1005"/>
        </w:numPr>
      </w:pPr>
      <w:r>
        <w:rPr>
          <w:b/>
          <w:bCs/>
        </w:rPr>
        <w:t xml:space="preserve">Q2 blended lease growth and the July new-lease read</w:t>
      </w:r>
      <w:r>
        <w:t xml:space="preserve"> </w:t>
      </w:r>
      <w:r>
        <w:t xml:space="preserve">(is the ramp real, or another mid-year stall?),</w:t>
      </w:r>
    </w:p>
    <w:p>
      <w:pPr>
        <w:pStyle w:val="Compact"/>
        <w:numPr>
          <w:ilvl w:val="0"/>
          <w:numId w:val="1005"/>
        </w:numPr>
      </w:pPr>
      <w:r>
        <w:rPr>
          <w:b/>
          <w:bCs/>
        </w:rPr>
        <w:t xml:space="preserve">Occupancy/exposure entering Q3</w:t>
      </w:r>
      <w:r>
        <w:t xml:space="preserve">, and</w:t>
      </w:r>
    </w:p>
    <w:p>
      <w:pPr>
        <w:pStyle w:val="Compact"/>
        <w:numPr>
          <w:ilvl w:val="0"/>
          <w:numId w:val="1005"/>
        </w:numPr>
      </w:pPr>
      <w:r>
        <w:rPr>
          <w:b/>
          <w:bCs/>
        </w:rPr>
        <w:t xml:space="preserve">Tone on 2027 setup</w:t>
      </w:r>
      <w:r>
        <w:t xml:space="preserve"> </w:t>
      </w:r>
      <w:r>
        <w:t xml:space="preserve">— supply down, demand resilient, redevelopment/WiFi NOI building.</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Expect a Core FFO print around the</w:t>
      </w:r>
      <w:r>
        <w:t xml:space="preserve"> </w:t>
      </w:r>
      <w:r>
        <w:rPr>
          <w:b/>
          <w:bCs/>
        </w:rPr>
        <w:t xml:space="preserve">$2.06 midpoint</w:t>
      </w:r>
      <w:r>
        <w:t xml:space="preserve"> </w:t>
      </w:r>
      <w:r>
        <w:t xml:space="preserve">(a seasonal and YoY dip that is by design), with the real information in the</w:t>
      </w:r>
      <w:r>
        <w:t xml:space="preserve"> </w:t>
      </w:r>
      <w:r>
        <w:rPr>
          <w:b/>
          <w:bCs/>
        </w:rPr>
        <w:t xml:space="preserve">new-lease pricing trajectory, occupancy/exposure, and any guidance revision</w:t>
      </w:r>
      <w:r>
        <w:t xml:space="preserve">. A confirmed new-lease inflection through July + a nudged-up full-year revenue/NOI range would validate the recovery narrative; a repeat of 2025's mid-year pricing stall, or unchanged guidance with cautious commentary, would keep MAA in "prove-it" mode until 2027.</w:t>
      </w:r>
    </w:p>
    <w:p>
      <w:pPr>
        <w:pStyle w:val="BodyText"/>
      </w:pPr>
      <w:r>
        <w:rPr>
          <w:i/>
          <w:iCs/>
        </w:rPr>
        <w:t xml:space="preserve">Note: I was unable to locate published sell-side consensus estimates or MAA-specific pre-announcement news in the available tools, so the expectations above are anchored to management's own Q2 and full-year guidance rather than Street consensus.</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2026-07-29T02:02:26Z</dcterms:created>
  <dcterms:modified xsi:type="dcterms:W3CDTF">2026-07-29T02:02:26Z</dcterms:modified>
</cp:coreProperties>
</file>

<file path=docProps/custom.xml><?xml version="1.0" encoding="utf-8"?>
<Properties xmlns="http://schemas.openxmlformats.org/officeDocument/2006/custom-properties" xmlns:vt="http://schemas.openxmlformats.org/officeDocument/2006/docPropsVTypes"/>
</file>