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aa-earnings-predictions--2026-07-29"/>
    <w:p>
      <w:pPr>
        <w:pStyle w:val="Heading1"/>
      </w:pPr>
      <w:r>
        <w:t xml:space="preserve">MAA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FFO per share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~$2.10 vs. cons $2.08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Total/Same-Store 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~$558.5M vs. cons $557.3M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Blended Lease-over-Lease Rate Growth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~1.1% vs. cons/implied-guide-bridge ~0.5%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Core FFO guidance (full-year range/midpoint)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~$8.55 vs. cons $8.53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Same-Store NOI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~-0.50% vs. cons/prior-midpoint -0.70%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Core FFO guidance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~$2.14 vs. cons $2.14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-0.4% (FADE)</w:t>
            </w:r>
          </w:p>
        </w:tc>
        <w:tc>
          <w:tcPr/>
          <w:p>
            <w:pPr>
              <w:pStyle w:val="Compact"/>
            </w:pPr>
            <w:r>
              <w:t xml:space="preserve">A confirmed sequential new-lease acceleration and cost-control beat should produce a modest positive day-1 pop since expectations were already de-risked (stock down from $139 to $135.67, tightened but still-negative full-year same-store NOI guide). However, the underlying full-year NOI outlook stays negative and rising interest expense (financing the Sept. $300M maturity, buybacks, delayed-draw term loan) keeps out-year FFO growth capped, so sell-side models likely trim 2027 estimates even after an in-line/slight-beat quarter, causing initial gains to partially fade over the following days as the 'still a transition year' framing reasserts itself.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2026-07-29T02:03:13Z</dcterms:created>
  <dcterms:modified xsi:type="dcterms:W3CDTF">2026-07-29T02:03:13Z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