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6" w:name="X315710d52e27587406957a05cb71b5a08377866"/>
    <w:p>
      <w:pPr>
        <w:pStyle w:val="Heading1"/>
      </w:pPr>
      <w:r>
        <w:t xml:space="preserve">MAA (Mid-America Apartment Communities)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Thursday, July 30, 9:00 a.m. CT</w:t>
      </w:r>
    </w:p>
    <w:p>
      <w:r>
        <w:pict>
          <v:rect style="width:0;height:1.5pt" o:hralign="center" o:hrstd="t" o:hr="t"/>
        </w:pict>
      </w:r>
    </w:p>
    <w:bookmarkStart w:id="9" w:name="setup"/>
    <w:p>
      <w:pPr>
        <w:pStyle w:val="Heading2"/>
      </w:pPr>
      <w:r>
        <w:t xml:space="preserve">Setup</w:t>
      </w:r>
    </w:p>
    <w:p>
      <w:pPr>
        <w:pStyle w:val="FirstParagraph"/>
      </w:pPr>
      <w:r>
        <w:t xml:space="preserve">MAA heads into its second-quarter print in the middle of what management has repeatedly framed as a multi-year Sunbelt apartment recovery — but one that has taken longer to show up in new lease pricing than the company expected a year ago. Shares closed at</w:t>
      </w:r>
      <w:r>
        <w:t xml:space="preserve"> </w:t>
      </w:r>
      <w:r>
        <w:rPr>
          <w:b/>
          <w:bCs/>
        </w:rPr>
        <w:t xml:space="preserve">$135.67</w:t>
      </w:r>
      <w:r>
        <w:t xml:space="preserve"> </w:t>
      </w:r>
      <w:r>
        <w:t xml:space="preserve">on July 28, up from a March low near</w:t>
      </w:r>
      <w:r>
        <w:t xml:space="preserve"> </w:t>
      </w:r>
      <m:oMath>
        <m:r>
          <m:t>121</m:t>
        </m:r>
        <m:r>
          <m:t>b</m:t>
        </m:r>
        <m:r>
          <m:t>u</m:t>
        </m:r>
        <m:r>
          <m:t>t</m:t>
        </m:r>
        <m:r>
          <m:t>s</m:t>
        </m:r>
        <m:r>
          <m:t>t</m:t>
        </m:r>
        <m:r>
          <m:t>i</m:t>
        </m:r>
        <m:r>
          <m:t>l</m:t>
        </m:r>
        <m:r>
          <m:t>l</m:t>
        </m:r>
        <m:r>
          <m:t>b</m:t>
        </m:r>
        <m:r>
          <m:t>e</m:t>
        </m:r>
        <m:r>
          <m:t>l</m:t>
        </m:r>
        <m:r>
          <m:t>o</m:t>
        </m:r>
        <m:r>
          <m:t>w</m:t>
        </m:r>
        <m:r>
          <m:t>t</m:t>
        </m:r>
        <m:r>
          <m:t>h</m:t>
        </m:r>
        <m:r>
          <m:t>e</m:t>
        </m:r>
        <m:r>
          <m:t> </m:t>
        </m:r>
      </m:oMath>
      <w:r>
        <w:t xml:space="preserve">139 level where the stock started 2026, and Wall Street sentiment remains mixed: analysts have trimmed price targets recently (a "series of reduced price targets in the $120 to $150 range") on concerns about "softer Sunbelt rent growth, elevated supply and more cautious revenue assumptions."</w:t>
      </w:r>
    </w:p>
    <w:p>
      <w:pPr>
        <w:pStyle w:val="BodyText"/>
      </w:pPr>
      <w:r>
        <w:t xml:space="preserve">Consensus expects</w:t>
      </w:r>
      <w:r>
        <w:t xml:space="preserve"> </w:t>
      </w:r>
      <w:r>
        <w:rPr>
          <w:b/>
          <w:bCs/>
        </w:rPr>
        <w:t xml:space="preserve">Core FFO of $2.08/share</w:t>
      </w:r>
      <w:r>
        <w:t xml:space="preserve"> </w:t>
      </w:r>
      <w:r>
        <w:t xml:space="preserve">for Q2, which would be a</w:t>
      </w:r>
      <w:r>
        <w:t xml:space="preserve"> </w:t>
      </w:r>
      <w:r>
        <w:rPr>
          <w:b/>
          <w:bCs/>
        </w:rPr>
        <w:t xml:space="preserve">3.3% decline year-over-year</w:t>
      </w:r>
      <w:r>
        <w:t xml:space="preserve"> </w:t>
      </w:r>
      <w:r>
        <w:t xml:space="preserve">from</w:t>
      </w:r>
      <w:r>
        <w:t xml:space="preserve"> </w:t>
      </w:r>
      <m:oMath>
        <m:r>
          <m:t>2.15</m:t>
        </m:r>
        <m:r>
          <m:t>i</m:t>
        </m:r>
        <m:r>
          <m:t>n</m:t>
        </m:r>
        <m:r>
          <m:t>Q</m:t>
        </m:r>
        <m:r>
          <m:t>2</m:t>
        </m:r>
        <m:r>
          <m:t>2025</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557.3 million** (a ~1.3% increase year-over-year). That consensus print sits</w:t>
      </w:r>
      <w:r>
        <w:t xml:space="preserve"> </w:t>
      </w:r>
      <w:r>
        <w:rPr>
          <w:i/>
          <w:iCs/>
        </w:rPr>
        <w:t xml:space="preserve">above</w:t>
      </w:r>
      <w:r>
        <w:t xml:space="preserve"> </w:t>
      </w:r>
      <w:r>
        <w:t xml:space="preserve">the midpoint of MAA's own guidance range (</w:t>
      </w:r>
      <m:oMath>
        <m:r>
          <m:t>2.00</m:t>
        </m:r>
        <m:r>
          <m:rPr>
            <m:sty m:val="p"/>
          </m:rPr>
          <m:t>–</m:t>
        </m:r>
      </m:oMath>
      <w:r>
        <w:t xml:space="preserve">2.12, midpoint</w:t>
      </w:r>
      <w:r>
        <w:t xml:space="preserve"> </w:t>
      </w:r>
      <m:oMath>
        <m:r>
          <m:t>2.06</m:t>
        </m:r>
        <m:r>
          <m:rPr>
            <m:sty m:val="p"/>
          </m:rPr>
          <m:t>)</m:t>
        </m:r>
        <m:r>
          <m:t>i</m:t>
        </m:r>
        <m:r>
          <m:t>s</m:t>
        </m:r>
        <m:r>
          <m:t>s</m:t>
        </m:r>
        <m:r>
          <m:t>u</m:t>
        </m:r>
        <m:r>
          <m:t>e</m:t>
        </m:r>
        <m:r>
          <m:t>d</m:t>
        </m:r>
        <m:r>
          <m:t>a</m:t>
        </m:r>
        <m:r>
          <m:t>l</m:t>
        </m:r>
        <m:r>
          <m:t>o</m:t>
        </m:r>
        <m:r>
          <m:t>n</m:t>
        </m:r>
        <m:r>
          <m:t>g</m:t>
        </m:r>
        <m:r>
          <m:t>s</m:t>
        </m:r>
        <m:r>
          <m:t>i</m:t>
        </m:r>
        <m:r>
          <m:t>d</m:t>
        </m:r>
        <m:r>
          <m:t>e</m:t>
        </m:r>
        <m:r>
          <m:t>Q</m:t>
        </m:r>
        <m:r>
          <m:t>1</m:t>
        </m:r>
        <m:r>
          <m:t>r</m:t>
        </m:r>
        <m:r>
          <m:t>e</m:t>
        </m:r>
        <m:r>
          <m:t>s</m:t>
        </m:r>
        <m:r>
          <m:t>u</m:t>
        </m:r>
        <m:r>
          <m:t>l</m:t>
        </m:r>
        <m:r>
          <m:t>t</m:t>
        </m:r>
        <m:r>
          <m:t>s</m:t>
        </m:r>
        <m:r>
          <m:rPr>
            <m:sty m:val="p"/>
          </m:rPr>
          <m:t>,</m:t>
        </m:r>
        <m:r>
          <m:t>s</m:t>
        </m:r>
        <m:r>
          <m:t>e</m:t>
        </m:r>
        <m:r>
          <m:t>t</m:t>
        </m:r>
        <m:r>
          <m:t>t</m:t>
        </m:r>
        <m:r>
          <m:t>i</m:t>
        </m:r>
        <m:r>
          <m:t>n</m:t>
        </m:r>
        <m:r>
          <m:t>g</m:t>
        </m:r>
        <m:r>
          <m:t>u</m:t>
        </m:r>
        <m:r>
          <m:t>p</m:t>
        </m:r>
        <m:r>
          <m:t>a</m:t>
        </m:r>
        <m:r>
          <m:t>m</m:t>
        </m:r>
        <m:r>
          <m:t>o</m:t>
        </m:r>
        <m:r>
          <m:t>d</m:t>
        </m:r>
        <m:r>
          <m:t>e</m:t>
        </m:r>
        <m:r>
          <m:t>s</m:t>
        </m:r>
        <m:r>
          <m:t>t</m:t>
        </m:r>
        <m:r>
          <m:t>b</m:t>
        </m:r>
        <m:r>
          <m:t>a</m:t>
        </m:r>
        <m:r>
          <m:t>r</m:t>
        </m:r>
        <m:r>
          <m:rPr>
            <m:sty m:val="p"/>
          </m:rPr>
          <m:t>.</m:t>
        </m:r>
        <m:r>
          <m:t>M</m:t>
        </m:r>
        <m:r>
          <m:t>A</m:t>
        </m:r>
        <m:r>
          <m:t>A</m:t>
        </m:r>
        <m:r>
          <m:t>h</m:t>
        </m:r>
        <m:r>
          <m:t>a</m:t>
        </m:r>
        <m:r>
          <m:t>s</m:t>
        </m:r>
        <m:r>
          <m:t>b</m:t>
        </m:r>
        <m:r>
          <m:t>e</m:t>
        </m:r>
        <m:r>
          <m:t>a</m:t>
        </m:r>
        <m:r>
          <m:t>t</m:t>
        </m:r>
        <m:r>
          <m:t>e</m:t>
        </m:r>
        <m:r>
          <m:t>n</m:t>
        </m:r>
        <m:r>
          <m:t>S</m:t>
        </m:r>
        <m:r>
          <m:t>t</m:t>
        </m:r>
        <m:r>
          <m:t>r</m:t>
        </m:r>
        <m:r>
          <m:t>e</m:t>
        </m:r>
        <m:r>
          <m:t>e</m:t>
        </m:r>
        <m:r>
          <m:t>t</m:t>
        </m:r>
        <m:r>
          <m:t>C</m:t>
        </m:r>
        <m:r>
          <m:t>o</m:t>
        </m:r>
        <m:r>
          <m:t>r</m:t>
        </m:r>
        <m:r>
          <m:t>e</m:t>
        </m:r>
        <m:r>
          <m:t>F</m:t>
        </m:r>
        <m:r>
          <m:t>F</m:t>
        </m:r>
        <m:r>
          <m:t>O</m:t>
        </m:r>
        <m:r>
          <m:t>e</m:t>
        </m:r>
        <m:r>
          <m:t>s</m:t>
        </m:r>
        <m:r>
          <m:t>t</m:t>
        </m:r>
        <m:r>
          <m:t>i</m:t>
        </m:r>
        <m:r>
          <m:t>m</m:t>
        </m:r>
        <m:r>
          <m:t>a</m:t>
        </m:r>
        <m:r>
          <m:t>t</m:t>
        </m:r>
        <m:r>
          <m:t>e</m:t>
        </m:r>
        <m:r>
          <m:t>s</m:t>
        </m:r>
        <m:r>
          <m:t>i</m:t>
        </m:r>
        <m:r>
          <m:t>n</m:t>
        </m:r>
        <m:r>
          <m:t>t</m:t>
        </m:r>
        <m:r>
          <m:t>h</m:t>
        </m:r>
        <m:r>
          <m:t>r</m:t>
        </m:r>
        <m:r>
          <m:t>e</m:t>
        </m:r>
        <m:r>
          <m:t>e</m:t>
        </m:r>
        <m:r>
          <m:t>o</m:t>
        </m:r>
        <m:r>
          <m:t>f</m:t>
        </m:r>
        <m:r>
          <m:t>t</m:t>
        </m:r>
        <m:r>
          <m:t>h</m:t>
        </m:r>
        <m:r>
          <m:t>e</m:t>
        </m:r>
        <m:r>
          <m:t>l</m:t>
        </m:r>
        <m:r>
          <m:t>a</m:t>
        </m:r>
        <m:r>
          <m:t>s</m:t>
        </m:r>
        <m:r>
          <m:t>t</m:t>
        </m:r>
        <m:r>
          <m:t>f</m:t>
        </m:r>
        <m:r>
          <m:t>o</m:t>
        </m:r>
        <m:r>
          <m:t>u</m:t>
        </m:r>
        <m:r>
          <m:t>r</m:t>
        </m:r>
        <m:r>
          <m:t>q</m:t>
        </m:r>
        <m:r>
          <m:t>u</m:t>
        </m:r>
        <m:r>
          <m:t>a</m:t>
        </m:r>
        <m:r>
          <m:t>r</m:t>
        </m:r>
        <m:r>
          <m:t>t</m:t>
        </m:r>
        <m:r>
          <m:t>e</m:t>
        </m:r>
        <m:r>
          <m:t>r</m:t>
        </m:r>
        <m:r>
          <m:t>s</m:t>
        </m:r>
        <m:r>
          <m:rPr>
            <m:sty m:val="p"/>
          </m:rPr>
          <m:t>,</m:t>
        </m:r>
        <m:r>
          <m:t>w</m:t>
        </m:r>
        <m:r>
          <m:t>i</m:t>
        </m:r>
        <m:r>
          <m:t>t</m:t>
        </m:r>
        <m:r>
          <m:t>h</m:t>
        </m:r>
        <m:r>
          <m:t>t</m:t>
        </m:r>
        <m:r>
          <m:t>h</m:t>
        </m:r>
        <m:r>
          <m:t>e</m:t>
        </m:r>
        <m:r>
          <m:t>l</m:t>
        </m:r>
        <m:r>
          <m:t>a</m:t>
        </m:r>
        <m:r>
          <m:t>s</m:t>
        </m:r>
        <m:r>
          <m:t>t</m:t>
        </m:r>
        <m:r>
          <m:t>b</m:t>
        </m:r>
        <m:r>
          <m:t>e</m:t>
        </m:r>
        <m:r>
          <m:t>a</m:t>
        </m:r>
        <m:r>
          <m:t>t</m:t>
        </m:r>
        <m:r>
          <m:rPr>
            <m:sty m:val="p"/>
          </m:rPr>
          <m:t>(</m:t>
        </m:r>
      </m:oMath>
      <w:r>
        <w:t xml:space="preserve">2.13 vs. $2.11 guidance midpoint) driven by disciplined expense control rather than revenue upside.</w:t>
      </w:r>
    </w:p>
    <w:bookmarkEnd w:id="9"/>
    <w:bookmarkStart w:id="10" w:name="what-happened-last-quarter-context"/>
    <w:p>
      <w:pPr>
        <w:pStyle w:val="Heading2"/>
      </w:pPr>
      <w:r>
        <w:t xml:space="preserve">What happened last quarter (context)</w:t>
      </w:r>
    </w:p>
    <w:p>
      <w:pPr>
        <w:pStyle w:val="FirstParagraph"/>
      </w:pPr>
      <w:r>
        <w:t xml:space="preserve">Q1 2026 was a "beat on cost control, in-line on revenue" quarter: Core FFO of $2.13 topped guidance by $0.02, largely because same-store repair/maintenance, personnel and marketing costs came in below plan, while same-store revenue was in line. Same-store metrics were soft on an absolute basis — revenue -0.4%, expenses +1.3%, NOI -1.3% year-over-year — but blended lease pricing improved sequentially for a fifth straight quarter, with blended lease-over-lease growth of -0.3% (up 140 bps from Q4), driven by 110 bps of new-lease improvement and 70 bps of renewal improvement. Occupancy held at 95.5%.</w:t>
      </w:r>
    </w:p>
    <w:p>
      <w:pPr>
        <w:pStyle w:val="BodyText"/>
      </w:pPr>
      <w:r>
        <w:t xml:space="preserve">Management reaffirmed full-year guidance at the same midpoints while</w:t>
      </w:r>
      <w:r>
        <w:t xml:space="preserve"> </w:t>
      </w:r>
      <w:r>
        <w:rPr>
          <w:b/>
          <w:bCs/>
        </w:rPr>
        <w:t xml:space="preserve">tightening the range</w:t>
      </w:r>
      <w:r>
        <w:t xml:space="preserve"> </w:t>
      </w:r>
      <w:r>
        <w:t xml:space="preserve">(Core FFO</w:t>
      </w:r>
      <w:r>
        <w:t xml:space="preserve"> </w:t>
      </w:r>
      <m:oMath>
        <m:r>
          <m:t>8.37</m:t>
        </m:r>
        <m:r>
          <m:rPr>
            <m:sty m:val="p"/>
          </m:rPr>
          <m:t>–</m:t>
        </m:r>
      </m:oMath>
      <w:r>
        <w:t xml:space="preserve">8.69, midpoint $8.53; same-store NOI guided to -0.70% at the midpoint) — a signal of rising confidence in the trajectory even though the absolute growth outlook remains negative for 2026.</w:t>
      </w:r>
    </w:p>
    <w:bookmarkEnd w:id="10"/>
    <w:bookmarkStart w:id="11" w:name="what-to-watch-in-the-q2-print"/>
    <w:p>
      <w:pPr>
        <w:pStyle w:val="Heading2"/>
      </w:pPr>
      <w:r>
        <w:t xml:space="preserve">What to watch in the Q2 print</w:t>
      </w:r>
    </w:p>
    <w:p>
      <w:pPr>
        <w:pStyle w:val="FirstParagraph"/>
      </w:pPr>
      <w:r>
        <w:rPr>
          <w:b/>
          <w:bCs/>
        </w:rPr>
        <w:t xml:space="preserve">1. Has new-lease pricing actually accelerated as promised?</w:t>
      </w:r>
      <w:r>
        <w:t xml:space="preserve"> </w:t>
      </w:r>
      <w:r>
        <w:t xml:space="preserve">This is the single biggest swing factor. On the Q1 call, CSAO Tim Argo laid out a bridge implying blended lease growth of roughly 1.3%–1.8% across Q2–Q4 to hit the full-year 1%–1.5% target, with new-lease pricing expected to keep improving into July before a seasonal (but less severe than usual) pullback. At the June 3 Nareit REITweek investor conference, management provided a positive interim data point: blended lease-over-lease rates were up ~140 bps in May versus Q1, with new-lease pricing up</w:t>
      </w:r>
      <w:r>
        <w:t xml:space="preserve"> </w:t>
      </w:r>
      <w:r>
        <w:rPr>
          <w:b/>
          <w:bCs/>
        </w:rPr>
        <w:t xml:space="preserve">240 bps</w:t>
      </w:r>
      <w:r>
        <w:t xml:space="preserve"> </w:t>
      </w:r>
      <w:r>
        <w:t xml:space="preserve">over the same span — the strongest actual dollar-level blended pricing MAA had seen in almost two years. Confirmation (or disappointment) of that momentum carrying through June is the key thing investors need from this print.</w:t>
      </w:r>
    </w:p>
    <w:p>
      <w:pPr>
        <w:pStyle w:val="BodyText"/>
      </w:pPr>
      <w:r>
        <w:rPr>
          <w:b/>
          <w:bCs/>
        </w:rPr>
        <w:t xml:space="preserve">2. Occupancy, exposure and retention.</w:t>
      </w:r>
      <w:r>
        <w:t xml:space="preserve"> </w:t>
      </w:r>
      <w:r>
        <w:t xml:space="preserve">April average physical occupancy was 95.5% (in line with April 2025) with 60-day exposure 20 bps better than a year earlier, and resident turnover at a record-low trailing-twelve-month level. Watch whether occupancy held through the peak leasing months as new supply gets absorbed.</w:t>
      </w:r>
    </w:p>
    <w:p>
      <w:pPr>
        <w:pStyle w:val="BodyText"/>
      </w:pPr>
      <w:r>
        <w:rPr>
          <w:b/>
          <w:bCs/>
        </w:rPr>
        <w:t xml:space="preserve">3. Market-level divergence.</w:t>
      </w:r>
      <w:r>
        <w:t xml:space="preserve"> </w:t>
      </w:r>
      <w:r>
        <w:t xml:space="preserve">Atlanta, Dallas and Orlando — MAA's three largest same-store NOI contributors — outperformed the portfolio in Q1 blended pricing, while Austin, Charlotte and Savannah remain pressured by elevated concessions and heavy supply, with management characterizing Charlotte as more of a "2027 recovery story." Zacks' preview similarly flags Atlanta/Dallas strength versus continued Austin/Charlotte/Savannah softness as a same setup to watch in Q2.</w:t>
      </w:r>
    </w:p>
    <w:p>
      <w:pPr>
        <w:pStyle w:val="BodyText"/>
      </w:pPr>
      <w:r>
        <w:rPr>
          <w:b/>
          <w:bCs/>
        </w:rPr>
        <w:t xml:space="preserve">4. Expense discipline.</w:t>
      </w:r>
      <w:r>
        <w:t xml:space="preserve"> </w:t>
      </w:r>
      <w:r>
        <w:t xml:space="preserve">MAA has outperformed peers on expense control (management cited ~290 bps of outperformance versus peers on same-store and overhead expenses over five years), and this has been the main source of recent guidance beats. Continued favorability here would offset soft top-line growth.</w:t>
      </w:r>
    </w:p>
    <w:p>
      <w:pPr>
        <w:pStyle w:val="BodyText"/>
      </w:pPr>
      <w:r>
        <w:rPr>
          <w:b/>
          <w:bCs/>
        </w:rPr>
        <w:t xml:space="preserve">5. Interest expense and the FFO bridge.</w:t>
      </w:r>
      <w:r>
        <w:t xml:space="preserve"> </w:t>
      </w:r>
      <w:r>
        <w:t xml:space="preserve">Management's own Q1-to-Q2 bridge flagged same-store NOI as a $0.11 drag, overhead as a $0.05 tailwind, interest expense as a $0.02 drag, and share repurchases as a $0.01 tailwind versus Q1's $2.13 actual — netting to the $2.06 midpoint guide. The Zacks preview estimates a</w:t>
      </w:r>
      <w:r>
        <w:t xml:space="preserve"> </w:t>
      </w:r>
      <w:r>
        <w:rPr>
          <w:b/>
          <w:bCs/>
        </w:rPr>
        <w:t xml:space="preserve">16.5% year-over-year increase in interest expense</w:t>
      </w:r>
      <w:r>
        <w:t xml:space="preserve">, tied to development deliveries, incremental borrowing for the June litigation settlement, and share buybacks, partially offset by disposition proceeds.</w:t>
      </w:r>
    </w:p>
    <w:p>
      <w:pPr>
        <w:pStyle w:val="BodyText"/>
      </w:pPr>
      <w:r>
        <w:rPr>
          <w:b/>
          <w:bCs/>
        </w:rPr>
        <w:t xml:space="preserve">6. Full-year guidance revision.</w:t>
      </w:r>
      <w:r>
        <w:t xml:space="preserve"> </w:t>
      </w:r>
      <w:r>
        <w:t xml:space="preserve">Given typical practice of updating full-year numbers each quarter, watch for any change to the</w:t>
      </w:r>
      <w:r>
        <w:t xml:space="preserve"> </w:t>
      </w:r>
      <m:oMath>
        <m:r>
          <m:t>8.37</m:t>
        </m:r>
        <m:r>
          <m:rPr>
            <m:sty m:val="p"/>
          </m:rPr>
          <m:t>–</m:t>
        </m:r>
      </m:oMath>
      <w:r>
        <w:t xml:space="preserve">8.69 Core FFO range or the -1.70% to +0.30% same-store NOI range, and any updated commentary on the pace of new-lease acceleration into peak season (July is historically MAA's strongest pricing month).</w:t>
      </w:r>
    </w:p>
    <w:bookmarkEnd w:id="11"/>
    <w:bookmarkStart w:id="12" w:name="balance-sheet-and-capital-allocation"/>
    <w:p>
      <w:pPr>
        <w:pStyle w:val="Heading2"/>
      </w:pPr>
      <w:r>
        <w:t xml:space="preserve">Balance sheet and capital allocation</w:t>
      </w:r>
    </w:p>
    <w:p>
      <w:pPr>
        <w:pStyle w:val="FirstParagraph"/>
      </w:pPr>
      <w:r>
        <w:t xml:space="preserve">MAA ended Q1 with net debt/EBITDAre of 4.5x,</w:t>
      </w:r>
      <w:r>
        <w:t xml:space="preserve"> </w:t>
      </w:r>
      <m:oMath>
        <m:r>
          <m:t>839</m:t>
        </m:r>
        <m:r>
          <m:t>m</m:t>
        </m:r>
        <m:r>
          <m:t>i</m:t>
        </m:r>
        <m:r>
          <m:t>l</m:t>
        </m:r>
        <m:r>
          <m:t>l</m:t>
        </m:r>
        <m:r>
          <m:t>i</m:t>
        </m:r>
        <m:r>
          <m:t>o</m:t>
        </m:r>
        <m:r>
          <m:t>n</m:t>
        </m:r>
        <m:r>
          <m:t>o</m:t>
        </m:r>
        <m:r>
          <m:t>f</m:t>
        </m:r>
        <m:r>
          <m:t>c</m:t>
        </m:r>
        <m:r>
          <m:t>o</m:t>
        </m:r>
        <m:r>
          <m:t>m</m:t>
        </m:r>
        <m:r>
          <m:t>b</m:t>
        </m:r>
        <m:r>
          <m:t>i</m:t>
        </m:r>
        <m:r>
          <m:t>n</m:t>
        </m:r>
        <m:r>
          <m:t>e</m:t>
        </m:r>
        <m:r>
          <m:t>d</m:t>
        </m:r>
        <m:r>
          <m:t>c</m:t>
        </m:r>
        <m:r>
          <m:t>a</m:t>
        </m:r>
        <m:r>
          <m:t>s</m:t>
        </m:r>
        <m:r>
          <m:t>h</m:t>
        </m:r>
        <m:r>
          <m:t>a</m:t>
        </m:r>
        <m:r>
          <m:t>n</m:t>
        </m:r>
        <m:r>
          <m:t>d</m:t>
        </m:r>
        <m:r>
          <m:t>r</m:t>
        </m:r>
        <m:r>
          <m:t>e</m:t>
        </m:r>
        <m:r>
          <m:t>v</m:t>
        </m:r>
        <m:r>
          <m:t>o</m:t>
        </m:r>
        <m:r>
          <m:t>l</m:t>
        </m:r>
        <m:r>
          <m:t>v</m:t>
        </m:r>
        <m:r>
          <m:t>e</m:t>
        </m:r>
        <m:r>
          <m:t>r</m:t>
        </m:r>
        <m:r>
          <m:t>c</m:t>
        </m:r>
        <m:r>
          <m:t>a</m:t>
        </m:r>
        <m:r>
          <m:t>p</m:t>
        </m:r>
        <m:r>
          <m:t>a</m:t>
        </m:r>
        <m:r>
          <m:t>c</m:t>
        </m:r>
        <m:r>
          <m:t>i</m:t>
        </m:r>
        <m:r>
          <m:t>t</m:t>
        </m:r>
        <m:r>
          <m:t>y</m:t>
        </m:r>
        <m:r>
          <m:rPr>
            <m:sty m:val="p"/>
          </m:rPr>
          <m:t>,</m:t>
        </m:r>
        <m:r>
          <m:t>a</m:t>
        </m:r>
        <m:r>
          <m:t>n</m:t>
        </m:r>
        <m:r>
          <m:t>d</m:t>
        </m:r>
        <m:r>
          <m:t>87</m:t>
        </m:r>
      </m:oMath>
      <w:r>
        <w:t xml:space="preserve">350 million unsecured delayed-draw term loan** (with an accordion up to</w:t>
      </w:r>
      <w:r>
        <w:t xml:space="preserve"> </w:t>
      </w:r>
      <m:oMath>
        <m:r>
          <m:t>550</m:t>
        </m:r>
        <m:r>
          <m:t>m</m:t>
        </m:r>
        <m:r>
          <m:t>i</m:t>
        </m:r>
        <m:r>
          <m:t>l</m:t>
        </m:r>
        <m:r>
          <m:t>l</m:t>
        </m:r>
        <m:r>
          <m:t>i</m:t>
        </m:r>
        <m:r>
          <m:t>o</m:t>
        </m:r>
        <m:r>
          <m:t>n</m:t>
        </m:r>
        <m:r>
          <m:rPr>
            <m:sty m:val="p"/>
          </m:rPr>
          <m:t>)</m:t>
        </m:r>
        <m:r>
          <m:t>m</m:t>
        </m:r>
        <m:r>
          <m:t>a</m:t>
        </m:r>
        <m:r>
          <m:t>t</m:t>
        </m:r>
        <m:r>
          <m:t>u</m:t>
        </m:r>
        <m:r>
          <m:t>r</m:t>
        </m:r>
        <m:r>
          <m:t>i</m:t>
        </m:r>
        <m:r>
          <m:t>n</m:t>
        </m:r>
        <m:r>
          <m:t>g</m:t>
        </m:r>
        <m:r>
          <m:t>N</m:t>
        </m:r>
        <m:r>
          <m:t>o</m:t>
        </m:r>
        <m:r>
          <m:t>v</m:t>
        </m:r>
        <m:r>
          <m:t>e</m:t>
        </m:r>
        <m:r>
          <m:t>m</m:t>
        </m:r>
        <m:r>
          <m:t>b</m:t>
        </m:r>
        <m:r>
          <m:t>e</m:t>
        </m:r>
        <m:r>
          <m:t>r</m:t>
        </m:r>
        <m:r>
          <m:t>2030</m:t>
        </m:r>
        <m:r>
          <m:rPr>
            <m:sty m:val="p"/>
          </m:rPr>
          <m:t>,</m:t>
        </m:r>
        <m:r>
          <m:t>e</m:t>
        </m:r>
        <m:r>
          <m:t>a</m:t>
        </m:r>
        <m:r>
          <m:t>r</m:t>
        </m:r>
        <m:r>
          <m:t>m</m:t>
        </m:r>
        <m:r>
          <m:t>a</m:t>
        </m:r>
        <m:r>
          <m:t>r</m:t>
        </m:r>
        <m:r>
          <m:t>k</m:t>
        </m:r>
        <m:r>
          <m:t>e</m:t>
        </m:r>
        <m:r>
          <m:t>d</m:t>
        </m:r>
        <m:r>
          <m:t>f</m:t>
        </m:r>
        <m:r>
          <m:t>o</m:t>
        </m:r>
        <m:r>
          <m:t>r</m:t>
        </m:r>
        <m:r>
          <m:t>g</m:t>
        </m:r>
        <m:r>
          <m:t>e</m:t>
        </m:r>
        <m:r>
          <m:t>n</m:t>
        </m:r>
        <m:r>
          <m:t>e</m:t>
        </m:r>
        <m:r>
          <m:t>r</m:t>
        </m:r>
        <m:r>
          <m:t>a</m:t>
        </m:r>
        <m:r>
          <m:t>l</m:t>
        </m:r>
        <m:r>
          <m:t>c</m:t>
        </m:r>
        <m:r>
          <m:t>o</m:t>
        </m:r>
        <m:r>
          <m:t>r</m:t>
        </m:r>
        <m:r>
          <m:t>p</m:t>
        </m:r>
        <m:r>
          <m:t>o</m:t>
        </m:r>
        <m:r>
          <m:t>r</m:t>
        </m:r>
        <m:r>
          <m:t>a</m:t>
        </m:r>
        <m:r>
          <m:t>t</m:t>
        </m:r>
        <m:r>
          <m:t>e</m:t>
        </m:r>
        <m:r>
          <m:t>p</m:t>
        </m:r>
        <m:r>
          <m:t>u</m:t>
        </m:r>
        <m:r>
          <m:t>r</m:t>
        </m:r>
        <m:r>
          <m:t>p</m:t>
        </m:r>
        <m:r>
          <m:t>o</m:t>
        </m:r>
        <m:r>
          <m:t>s</m:t>
        </m:r>
        <m:r>
          <m:t>e</m:t>
        </m:r>
        <m:r>
          <m:t>s</m:t>
        </m:r>
        <m:r>
          <m:t>i</m:t>
        </m:r>
        <m:r>
          <m:t>n</m:t>
        </m:r>
        <m:r>
          <m:t>c</m:t>
        </m:r>
        <m:r>
          <m:t>l</m:t>
        </m:r>
        <m:r>
          <m:t>u</m:t>
        </m:r>
        <m:r>
          <m:t>d</m:t>
        </m:r>
        <m:r>
          <m:t>i</m:t>
        </m:r>
        <m:r>
          <m:t>n</m:t>
        </m:r>
        <m:r>
          <m:t>g</m:t>
        </m:r>
        <m:r>
          <m:t>r</m:t>
        </m:r>
        <m:r>
          <m:t>e</m:t>
        </m:r>
        <m:r>
          <m:t>p</m:t>
        </m:r>
        <m:r>
          <m:t>a</m:t>
        </m:r>
        <m:r>
          <m:t>y</m:t>
        </m:r>
        <m:r>
          <m:t>m</m:t>
        </m:r>
        <m:r>
          <m:t>e</m:t>
        </m:r>
        <m:r>
          <m:t>n</m:t>
        </m:r>
        <m:r>
          <m:t>t</m:t>
        </m:r>
        <m:r>
          <m:t>o</m:t>
        </m:r>
        <m:r>
          <m:t>f</m:t>
        </m:r>
        <m:r>
          <m:t>o</m:t>
        </m:r>
        <m:r>
          <m:t>t</m:t>
        </m:r>
        <m:r>
          <m:t>h</m:t>
        </m:r>
        <m:r>
          <m:t>e</m:t>
        </m:r>
        <m:r>
          <m:t>r</m:t>
        </m:r>
        <m:r>
          <m:t>d</m:t>
        </m:r>
        <m:r>
          <m:t>e</m:t>
        </m:r>
        <m:r>
          <m:t>b</m:t>
        </m:r>
        <m:r>
          <m:t>t</m:t>
        </m:r>
        <m:r>
          <m:rPr>
            <m:sty m:val="p"/>
          </m:rPr>
          <m:t>—</m:t>
        </m:r>
        <m:r>
          <m:t>r</m:t>
        </m:r>
        <m:r>
          <m:t>e</m:t>
        </m:r>
        <m:r>
          <m:t>l</m:t>
        </m:r>
        <m:r>
          <m:t>e</m:t>
        </m:r>
        <m:r>
          <m:t>v</m:t>
        </m:r>
        <m:r>
          <m:t>a</m:t>
        </m:r>
        <m:r>
          <m:t>n</m:t>
        </m:r>
        <m:r>
          <m:t>t</m:t>
        </m:r>
        <m:r>
          <m:t>g</m:t>
        </m:r>
        <m:r>
          <m:t>i</m:t>
        </m:r>
        <m:r>
          <m:t>v</m:t>
        </m:r>
        <m:r>
          <m:t>e</m:t>
        </m:r>
        <m:r>
          <m:t>n</m:t>
        </m:r>
        <m:r>
          <m:t>a</m:t>
        </m:r>
        <m:r>
          <m:rPr>
            <m:sty m:val="p"/>
          </m:rPr>
          <m:t>*</m:t>
        </m:r>
        <m:r>
          <m:rPr>
            <m:sty m:val="p"/>
          </m:rPr>
          <m:t>*</m:t>
        </m:r>
      </m:oMath>
      <w:r>
        <w:t xml:space="preserve">300 million maturity due in September 2026** and a planned redemption of roughly **</w:t>
      </w:r>
      <w:r>
        <w:t xml:space="preserve">$43 million of preferred shares in Q3**. On capital deployment, management has emphasized a "balanced" approach: continuing ~$</w:t>
      </w:r>
      <w:r>
        <w:t xml:space="preserve">300–400 million/year of development spend (yields in the mid-6% range, historically outperforming underwriting by 50–70 bps) while opportunistically buying back stock — MAA repurchased 558,000 shares in Q1 at an average price of</w:t>
      </w:r>
      <w:r>
        <w:t xml:space="preserve"> </w:t>
      </w:r>
      <m:oMath>
        <m:r>
          <m:t>130.46</m:t>
        </m:r>
        <m:r>
          <m:rPr>
            <m:sty m:val="p"/>
          </m:rPr>
          <m:t>(</m:t>
        </m:r>
        <m:r>
          <m:t> </m:t>
        </m:r>
      </m:oMath>
      <w:r>
        <w:t xml:space="preserve">73 million), and management has signaled openness to more buybacks given where the stock trades relative to private-market apartment values (cap rates cited around 4.5% for comparable assets).</w:t>
      </w:r>
    </w:p>
    <w:bookmarkEnd w:id="12"/>
    <w:bookmarkStart w:id="13" w:name="X722b174838ee6d261127b60ccf3583214839607"/>
    <w:p>
      <w:pPr>
        <w:pStyle w:val="Heading2"/>
      </w:pPr>
      <w:r>
        <w:t xml:space="preserve">Longer-term growth levers to gauge progress on</w:t>
      </w:r>
    </w:p>
    <w:p>
      <w:pPr>
        <w:pStyle w:val="Compact"/>
        <w:numPr>
          <w:ilvl w:val="0"/>
          <w:numId w:val="1001"/>
        </w:numPr>
      </w:pPr>
      <w:r>
        <w:rPr>
          <w:b/>
          <w:bCs/>
        </w:rPr>
        <w:t xml:space="preserve">Interior redevelopment</w:t>
      </w:r>
      <w:r>
        <w:t xml:space="preserve">: ~1,386 units renovated in Q1 at ~17% cash-on-cash returns; company-wide plans for roughly 7,000 unit upgrades in 2026.</w:t>
      </w:r>
    </w:p>
    <w:p>
      <w:pPr>
        <w:pStyle w:val="Compact"/>
        <w:numPr>
          <w:ilvl w:val="0"/>
          <w:numId w:val="1001"/>
        </w:numPr>
      </w:pPr>
      <w:r>
        <w:rPr>
          <w:b/>
          <w:bCs/>
        </w:rPr>
        <w:t xml:space="preserve">Property repositioning/amenities program</w:t>
      </w:r>
      <w:r>
        <w:t xml:space="preserve">: six recent projects over 90% repriced at 10%+ NOI yields; five more nearing completion.</w:t>
      </w:r>
    </w:p>
    <w:p>
      <w:pPr>
        <w:pStyle w:val="Compact"/>
        <w:numPr>
          <w:ilvl w:val="0"/>
          <w:numId w:val="1001"/>
        </w:numPr>
      </w:pPr>
      <w:r>
        <w:rPr>
          <w:b/>
          <w:bCs/>
        </w:rPr>
        <w:t xml:space="preserve">WiFi retrofit</w:t>
      </w:r>
      <w:r>
        <w:t xml:space="preserve">: expected to contribute roughly $3 million of incremental revenue in 2026, weighted to the back half as leases turn.</w:t>
      </w:r>
    </w:p>
    <w:p>
      <w:pPr>
        <w:pStyle w:val="Compact"/>
        <w:numPr>
          <w:ilvl w:val="0"/>
          <w:numId w:val="1001"/>
        </w:numPr>
      </w:pPr>
      <w:r>
        <w:rPr>
          <w:b/>
          <w:bCs/>
        </w:rPr>
        <w:t xml:space="preserve">"Reimagine" operating platform</w:t>
      </w:r>
      <w:r>
        <w:t xml:space="preserve">: a centralization/specialization initiative for on-site teams targeting roughly $25 million of incremental NOI over 2.5–3 years, currently being piloted in three markets — an early-stage program whose durability investors are still assessing.</w:t>
      </w:r>
    </w:p>
    <w:p>
      <w:pPr>
        <w:pStyle w:val="Compact"/>
        <w:numPr>
          <w:ilvl w:val="0"/>
          <w:numId w:val="1001"/>
        </w:numPr>
      </w:pPr>
      <w:r>
        <w:rPr>
          <w:b/>
          <w:bCs/>
        </w:rPr>
        <w:t xml:space="preserve">Development pipeline</w:t>
      </w:r>
      <w:r>
        <w:t xml:space="preserve">: targeted to run at</w:t>
      </w:r>
      <w:r>
        <w:t xml:space="preserve"> </w:t>
      </w:r>
      <m:oMath>
        <m:r>
          <m:t>1.0</m:t>
        </m:r>
        <m:r>
          <m:rPr>
            <m:sty m:val="p"/>
          </m:rPr>
          <m:t>–</m:t>
        </m:r>
      </m:oMath>
      <w:r>
        <w:t xml:space="preserve">1.2 billion (~4–5% of enterprise value), funded at $350–400 million/year; new starts in Kansas City (263 units) with Nashville and additional projects expected later in 2026.</w:t>
      </w:r>
    </w:p>
    <w:bookmarkEnd w:id="13"/>
    <w:bookmarkStart w:id="14" w:name="risks-and-sentiment-backdrop"/>
    <w:p>
      <w:pPr>
        <w:pStyle w:val="Heading2"/>
      </w:pPr>
      <w:r>
        <w:t xml:space="preserve">Risks and sentiment backdrop</w:t>
      </w:r>
    </w:p>
    <w:p>
      <w:pPr>
        <w:pStyle w:val="FirstParagraph"/>
      </w:pPr>
      <w:r>
        <w:t xml:space="preserve">The bear case centers on: (1) still-negative same-store NOI guidance for the full year; (2) a multi-year supply hangover in specific submarkets (Austin, Charlotte, Savannah, Nashville-adjacent areas) that may not clear until 2027; (3) rising interest expense as development deliveries and buyback-related borrowing layer on; and (4) a stock that has underperformed the broader market — MAA shares are roughly flat-to-down over the trailing year against a much stronger S&amp;P 500. Consensus analyst sentiment is generally a</w:t>
      </w:r>
      <w:r>
        <w:t xml:space="preserve"> </w:t>
      </w:r>
      <w:r>
        <w:rPr>
          <w:b/>
          <w:bCs/>
        </w:rPr>
        <w:t xml:space="preserve">Hold</w:t>
      </w:r>
      <w:r>
        <w:t xml:space="preserve">, with price targets clustered around</w:t>
      </w:r>
      <w:r>
        <w:t xml:space="preserve"> </w:t>
      </w:r>
      <m:oMath>
        <m:r>
          <m:t>140</m:t>
        </m:r>
        <m:r>
          <m:rPr>
            <m:sty m:val="p"/>
          </m:rPr>
          <m:t>–</m:t>
        </m:r>
      </m:oMath>
      <w:r>
        <w:rPr>
          <w:b/>
          <w:bCs/>
        </w:rPr>
        <w:t xml:space="preserve">150</w:t>
      </w:r>
      <w:r>
        <w:t xml:space="preserve">, reflecting a "mixed setup" where some analysts focus on execution/cash-flow resilience and others remain cautious on rent and occupancy trends.</w:t>
      </w:r>
    </w:p>
    <w:p>
      <w:pPr>
        <w:pStyle w:val="BodyText"/>
      </w:pPr>
      <w:r>
        <w:t xml:space="preserve">The bull case rests on the supply cliff: new deliveries in MAA's footprint are down roughly 40% year-over-year and roughly 60% from two years ago, with trailing-twelve-month construction starts near 2% of inventory versus a ~3% long-term average — a setup management believes supports accelerating pricing power into 2027 even if 2026 remains a "transition year." MAA also continues to point to resilient demand fundamentals (job growth, migration, corporate relocations into its Sunbelt/mid-Atlantic markets) and a historically low resident delinquency rate (~0.3% of billed rents) as reasons the recovery, while slower than hoped, remains intact.</w:t>
      </w:r>
    </w:p>
    <w:bookmarkEnd w:id="14"/>
    <w:bookmarkStart w:id="15" w:name="bottom-line"/>
    <w:p>
      <w:pPr>
        <w:pStyle w:val="Heading2"/>
      </w:pPr>
      <w:r>
        <w:t xml:space="preserve">Bottom line</w:t>
      </w:r>
    </w:p>
    <w:p>
      <w:pPr>
        <w:pStyle w:val="FirstParagraph"/>
      </w:pPr>
      <w:r>
        <w:t xml:space="preserve">This is a "prove it" quarter for MAA's new-lease pricing inflection. The company has already told the market it expects Q2 Core FFO of</w:t>
      </w:r>
      <w:r>
        <w:t xml:space="preserve"> </w:t>
      </w:r>
      <m:oMath>
        <m:r>
          <m:t>2.00</m:t>
        </m:r>
        <m:r>
          <m:rPr>
            <m:sty m:val="p"/>
          </m:rPr>
          <m:t>–</m:t>
        </m:r>
      </m:oMath>
      <w:r>
        <w:t xml:space="preserve">2.12 (midpoint $2.06) against a Street estimate of $2.08 — a beatable but not layup number given rising interest expense. The more important signal for the stock will be whether the sequential new-lease acceleration flagged at the June investor conference (240 bps of improvement in May versus Q1) held up through June and into the critical July leasing month, and whether management reiterates or nudges up full-year guidance. Balance sheet management (financing the September maturity, preferred redemption) and continued share buyback activity are secondary but relevant capital-allocation signals to watch on the call.</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2026-07-29T02:03:12Z</dcterms:created>
  <dcterms:modified xsi:type="dcterms:W3CDTF">2026-07-29T02:03:12Z</dcterms:modified>
</cp:coreProperties>
</file>

<file path=docProps/custom.xml><?xml version="1.0" encoding="utf-8"?>
<Properties xmlns="http://schemas.openxmlformats.org/officeDocument/2006/custom-properties" xmlns:vt="http://schemas.openxmlformats.org/officeDocument/2006/docPropsVTypes"/>
</file>