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734a025ea83fe6590403592e1f04b8450db1355"/>
    <w:p>
      <w:pPr>
        <w:pStyle w:val="Heading1"/>
      </w:pPr>
      <w:r>
        <w:t xml:space="preserve">MAA 2Q26 Earnings Preview: The Leasing Recovery Must Start Showing Up</w:t>
      </w:r>
    </w:p>
    <w:p>
      <w:pPr>
        <w:pStyle w:val="BlockText"/>
      </w:pPr>
      <w:r>
        <w:rPr>
          <w:b/>
          <w:bCs/>
        </w:rPr>
        <w:t xml:space="preserve">Timing clarification:</w:t>
      </w:r>
      <w:r>
        <w:t xml:space="preserve"> </w:t>
      </w:r>
      <w:r>
        <w:t xml:space="preserve">MAA is scheduled to release second-quarter results</w:t>
      </w:r>
      <w:r>
        <w:t xml:space="preserve"> </w:t>
      </w:r>
      <w:r>
        <w:rPr>
          <w:b/>
          <w:bCs/>
        </w:rPr>
        <w:t xml:space="preserve">after the market closes Wednesday, July 29, 2026</w:t>
      </w:r>
      <w:r>
        <w:t xml:space="preserve">. Its earnings call is</w:t>
      </w:r>
      <w:r>
        <w:t xml:space="preserve"> </w:t>
      </w:r>
      <w:r>
        <w:rPr>
          <w:b/>
          <w:bCs/>
        </w:rPr>
        <w:t xml:space="preserve">Thursday, July 30, at 9:00 a.m. Central Time</w:t>
      </w:r>
      <w:r>
        <w:t xml:space="preserve">.</w:t>
      </w:r>
    </w:p>
    <w:bookmarkStart w:id="9" w:name="investment-setup"/>
    <w:p>
      <w:pPr>
        <w:pStyle w:val="Heading2"/>
      </w:pPr>
      <w:r>
        <w:t xml:space="preserve">Investment setup</w:t>
      </w:r>
    </w:p>
    <w:p>
      <w:pPr>
        <w:pStyle w:val="FirstParagraph"/>
      </w:pPr>
      <w:r>
        <w:t xml:space="preserve">MAA enters the report at an important transition point. Sunbelt apartment supply remains elevated, but deliveries are declining, occupancy has stabilized, and management believes rent growth should improve through the peak leasing season.</w:t>
      </w:r>
    </w:p>
    <w:p>
      <w:pPr>
        <w:pStyle w:val="BodyText"/>
      </w:pPr>
      <w:r>
        <w:t xml:space="preserve">The central question is no longer whether supply will eventually moderate. It is whether that improvement is arriving quickly enough to support MAA’s 2026 guidance and the stronger earnings trajectory implied for the second half.</w:t>
      </w:r>
    </w:p>
    <w:p>
      <w:pPr>
        <w:pStyle w:val="BodyText"/>
      </w:pPr>
      <w:r>
        <w:t xml:space="preserve">The stock closed at</w:t>
      </w:r>
      <w:r>
        <w:t xml:space="preserve"> </w:t>
      </w:r>
      <w:r>
        <w:rPr>
          <w:b/>
          <w:bCs/>
        </w:rPr>
        <w:t xml:space="preserve">$135.67 on July 28</w:t>
      </w:r>
      <w:r>
        <w:t xml:space="preserve">, down approximately</w:t>
      </w:r>
      <w:r>
        <w:t xml:space="preserve"> </w:t>
      </w:r>
      <w:r>
        <w:rPr>
          <w:b/>
          <w:bCs/>
        </w:rPr>
        <w:t xml:space="preserve">2% year to date</w:t>
      </w:r>
      <w:r>
        <w:t xml:space="preserve">, versus gains for the broader REIT index and major apartment peers. At that price, MAA trades at roughly</w:t>
      </w:r>
      <w:r>
        <w:t xml:space="preserve"> </w:t>
      </w:r>
      <w:r>
        <w:rPr>
          <w:b/>
          <w:bCs/>
        </w:rPr>
        <w:t xml:space="preserve">15.9x</w:t>
      </w:r>
      <w:r>
        <w:t xml:space="preserve"> </w:t>
      </w:r>
      <w:r>
        <w:t xml:space="preserve">the midpoint of 2026 Core FFO guidance and yields approximately</w:t>
      </w:r>
      <w:r>
        <w:t xml:space="preserve"> </w:t>
      </w:r>
      <w:r>
        <w:rPr>
          <w:b/>
          <w:bCs/>
        </w:rPr>
        <w:t xml:space="preserve">4.5%</w:t>
      </w:r>
      <w:r>
        <w:t xml:space="preserve"> </w:t>
      </w:r>
      <w:r>
        <w:t xml:space="preserve">based on its $6.12 annual dividend. Expectations do not appear demanding, but the valuation still requires evidence that the operating trough is passing.</w:t>
      </w:r>
    </w:p>
    <w:bookmarkEnd w:id="9"/>
    <w:bookmarkStart w:id="10" w:name="the-headline-numbers"/>
    <w:p>
      <w:pPr>
        <w:pStyle w:val="Heading2"/>
      </w:pPr>
      <w:r>
        <w:t xml:space="preserve">The headline numbers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Reference point</w:t>
            </w:r>
          </w:p>
        </w:tc>
      </w:tr>
      <w:tr>
        <w:tc>
          <w:tcPr/>
          <w:p>
            <w:pPr>
              <w:pStyle w:val="Compact"/>
            </w:pPr>
            <w:r>
              <w:t xml:space="preserve">2Q26 Core FFO guidance</w:t>
            </w:r>
          </w:p>
        </w:tc>
        <w:tc>
          <w:tcPr/>
          <w:p>
            <w:pPr>
              <w:pStyle w:val="Compact"/>
              <w:jc w:val="right"/>
            </w:pPr>
            <m:oMath>
              <m:r>
                <m:t>2.00</m:t>
              </m:r>
              <m:r>
                <m:rPr>
                  <m:sty m:val="p"/>
                </m:rPr>
                <m:t>–</m:t>
              </m:r>
            </m:oMath>
            <w:r>
              <w:rPr>
                <w:b/>
                <w:bCs/>
              </w:rPr>
              <w:t xml:space="preserve">2.12/share</w:t>
            </w:r>
          </w:p>
        </w:tc>
      </w:tr>
      <w:tr>
        <w:tc>
          <w:tcPr/>
          <w:p>
            <w:pPr>
              <w:pStyle w:val="Compact"/>
            </w:pPr>
            <w:r>
              <w:t xml:space="preserve">Guidance midpoint</w:t>
            </w:r>
          </w:p>
        </w:tc>
        <w:tc>
          <w:tcPr/>
          <w:p>
            <w:pPr>
              <w:pStyle w:val="Compact"/>
              <w:jc w:val="right"/>
            </w:pPr>
            <w:r>
              <w:rPr>
                <w:b/>
                <w:bCs/>
              </w:rPr>
              <w:t xml:space="preserve">$2.06/share</w:t>
            </w:r>
          </w:p>
        </w:tc>
      </w:tr>
      <w:tr>
        <w:tc>
          <w:tcPr/>
          <w:p>
            <w:pPr>
              <w:pStyle w:val="Compact"/>
            </w:pPr>
            <w:r>
              <w:t xml:space="preserve">1Q26 Core FFO</w:t>
            </w:r>
          </w:p>
        </w:tc>
        <w:tc>
          <w:tcPr/>
          <w:p>
            <w:pPr>
              <w:pStyle w:val="Compact"/>
              <w:jc w:val="right"/>
            </w:pPr>
            <w:r>
              <w:rPr>
                <w:b/>
                <w:bCs/>
              </w:rPr>
              <w:t xml:space="preserve">$2.13/share</w:t>
            </w:r>
          </w:p>
        </w:tc>
      </w:tr>
      <w:tr>
        <w:tc>
          <w:tcPr/>
          <w:p>
            <w:pPr>
              <w:pStyle w:val="Compact"/>
            </w:pPr>
            <w:r>
              <w:t xml:space="preserve">2Q25 Core FFO</w:t>
            </w:r>
          </w:p>
        </w:tc>
        <w:tc>
          <w:tcPr/>
          <w:p>
            <w:pPr>
              <w:pStyle w:val="Compact"/>
              <w:jc w:val="right"/>
            </w:pPr>
            <w:r>
              <w:rPr>
                <w:b/>
                <w:bCs/>
              </w:rPr>
              <w:t xml:space="preserve">$2.15/share</w:t>
            </w:r>
          </w:p>
        </w:tc>
      </w:tr>
      <w:tr>
        <w:tc>
          <w:tcPr/>
          <w:p>
            <w:pPr>
              <w:pStyle w:val="Compact"/>
            </w:pPr>
            <w:r>
              <w:t xml:space="preserve">FY26 Core FFO guidance</w:t>
            </w:r>
          </w:p>
        </w:tc>
        <w:tc>
          <w:tcPr/>
          <w:p>
            <w:pPr>
              <w:pStyle w:val="Compact"/>
              <w:jc w:val="right"/>
            </w:pPr>
            <m:oMath>
              <m:r>
                <m:t>8.37</m:t>
              </m:r>
              <m:r>
                <m:rPr>
                  <m:sty m:val="p"/>
                </m:rPr>
                <m:t>–</m:t>
              </m:r>
            </m:oMath>
            <w:r>
              <w:rPr>
                <w:b/>
                <w:bCs/>
              </w:rPr>
              <w:t xml:space="preserve">8.69/share</w:t>
            </w:r>
          </w:p>
        </w:tc>
      </w:tr>
      <w:tr>
        <w:tc>
          <w:tcPr/>
          <w:p>
            <w:pPr>
              <w:pStyle w:val="Compact"/>
            </w:pPr>
            <w:r>
              <w:t xml:space="preserve">FY26 midpoint</w:t>
            </w:r>
          </w:p>
        </w:tc>
        <w:tc>
          <w:tcPr/>
          <w:p>
            <w:pPr>
              <w:pStyle w:val="Compact"/>
              <w:jc w:val="right"/>
            </w:pPr>
            <w:r>
              <w:rPr>
                <w:b/>
                <w:bCs/>
              </w:rPr>
              <w:t xml:space="preserve">$8.53/share</w:t>
            </w:r>
          </w:p>
        </w:tc>
      </w:tr>
      <w:tr>
        <w:tc>
          <w:tcPr/>
          <w:p>
            <w:pPr>
              <w:pStyle w:val="Compact"/>
            </w:pPr>
            <w:r>
              <w:t xml:space="preserve">FY26 same-store revenue growth midpoint</w:t>
            </w:r>
          </w:p>
        </w:tc>
        <w:tc>
          <w:tcPr/>
          <w:p>
            <w:pPr>
              <w:pStyle w:val="Compact"/>
              <w:jc w:val="right"/>
            </w:pPr>
            <w:r>
              <w:rPr>
                <w:b/>
                <w:bCs/>
              </w:rPr>
              <w:t xml:space="preserve">+0.55%</w:t>
            </w:r>
          </w:p>
        </w:tc>
      </w:tr>
      <w:tr>
        <w:tc>
          <w:tcPr/>
          <w:p>
            <w:pPr>
              <w:pStyle w:val="Compact"/>
            </w:pPr>
            <w:r>
              <w:t xml:space="preserve">FY26 same-store expense growth midpoint</w:t>
            </w:r>
          </w:p>
        </w:tc>
        <w:tc>
          <w:tcPr/>
          <w:p>
            <w:pPr>
              <w:pStyle w:val="Compact"/>
              <w:jc w:val="right"/>
            </w:pPr>
            <w:r>
              <w:rPr>
                <w:b/>
                <w:bCs/>
              </w:rPr>
              <w:t xml:space="preserve">+2.65%</w:t>
            </w:r>
          </w:p>
        </w:tc>
      </w:tr>
      <w:tr>
        <w:tc>
          <w:tcPr/>
          <w:p>
            <w:pPr>
              <w:pStyle w:val="Compact"/>
            </w:pPr>
            <w:r>
              <w:t xml:space="preserve">FY26 same-store NOI growth midpoint</w:t>
            </w:r>
          </w:p>
        </w:tc>
        <w:tc>
          <w:tcPr/>
          <w:p>
            <w:pPr>
              <w:pStyle w:val="Compact"/>
              <w:jc w:val="right"/>
            </w:pPr>
            <w:r>
              <w:rPr>
                <w:b/>
                <w:bCs/>
              </w:rPr>
              <w:t xml:space="preserve">-0.70%</w:t>
            </w:r>
          </w:p>
        </w:tc>
      </w:tr>
      <w:tr>
        <w:tc>
          <w:tcPr/>
          <w:p>
            <w:pPr>
              <w:pStyle w:val="Compact"/>
            </w:pPr>
            <w:r>
              <w:t xml:space="preserve">FY26 average occupancy midpoint</w:t>
            </w:r>
          </w:p>
        </w:tc>
        <w:tc>
          <w:tcPr/>
          <w:p>
            <w:pPr>
              <w:pStyle w:val="Compact"/>
              <w:jc w:val="right"/>
            </w:pPr>
            <w:r>
              <w:rPr>
                <w:b/>
                <w:bCs/>
              </w:rPr>
              <w:t xml:space="preserve">95.6%</w:t>
            </w:r>
          </w:p>
        </w:tc>
      </w:tr>
    </w:tbl>
    <w:p>
      <w:pPr>
        <w:pStyle w:val="BodyText"/>
      </w:pPr>
      <w:r>
        <w:t xml:space="preserve">A result near $2.06 would represent a roughly</w:t>
      </w:r>
      <w:r>
        <w:t xml:space="preserve"> </w:t>
      </w:r>
      <w:r>
        <w:rPr>
          <w:b/>
          <w:bCs/>
        </w:rPr>
        <w:t xml:space="preserve">4% year-over-year decline</w:t>
      </w:r>
      <w:r>
        <w:t xml:space="preserve"> </w:t>
      </w:r>
      <w:r>
        <w:t xml:space="preserve">in Core FFO. That is already embedded in management’s outlook, reflecting weaker same-store NOI, higher interest expense and the near-term dilution from development and lease-up activity.</w:t>
      </w:r>
    </w:p>
    <w:p>
      <w:pPr>
        <w:pStyle w:val="BodyText"/>
      </w:pPr>
      <w:r>
        <w:t xml:space="preserve">The more consequential issue will be guidance. After 1Q Core FFO of $2.13 and the 2Q midpoint of</w:t>
      </w:r>
      <w:r>
        <w:t xml:space="preserve"> </w:t>
      </w:r>
      <m:oMath>
        <m:r>
          <m:t>2.06</m:t>
        </m:r>
        <m:r>
          <m:rPr>
            <m:sty m:val="p"/>
          </m:rPr>
          <m:t>,</m:t>
        </m:r>
        <m:r>
          <m:t>M</m:t>
        </m:r>
        <m:r>
          <m:t>A</m:t>
        </m:r>
        <m:r>
          <m:t>A</m:t>
        </m:r>
        <m:r>
          <m:t>w</m:t>
        </m:r>
        <m:r>
          <m:t>o</m:t>
        </m:r>
        <m:r>
          <m:t>u</m:t>
        </m:r>
        <m:r>
          <m:t>l</m:t>
        </m:r>
        <m:r>
          <m:t>d</m:t>
        </m:r>
        <m:r>
          <m:t>n</m:t>
        </m:r>
        <m:r>
          <m:t>e</m:t>
        </m:r>
        <m:r>
          <m:t>e</m:t>
        </m:r>
        <m:r>
          <m:t>d</m:t>
        </m:r>
        <m:r>
          <m:t>a</m:t>
        </m:r>
        <m:r>
          <m:t>p</m:t>
        </m:r>
        <m:r>
          <m:t>p</m:t>
        </m:r>
        <m:r>
          <m:t>r</m:t>
        </m:r>
        <m:r>
          <m:t>o</m:t>
        </m:r>
        <m:r>
          <m:t>x</m:t>
        </m:r>
        <m:r>
          <m:t>i</m:t>
        </m:r>
        <m:r>
          <m:t>m</m:t>
        </m:r>
        <m:r>
          <m:t>a</m:t>
        </m:r>
        <m:r>
          <m:t>t</m:t>
        </m:r>
        <m:r>
          <m:t>e</m:t>
        </m:r>
        <m:r>
          <m:t>l</m:t>
        </m:r>
        <m:r>
          <m:t>y</m:t>
        </m:r>
        <m:r>
          <m:rPr>
            <m:sty m:val="p"/>
          </m:rPr>
          <m:t>*</m:t>
        </m:r>
        <m:r>
          <m:rPr>
            <m:sty m:val="p"/>
          </m:rPr>
          <m:t>*</m:t>
        </m:r>
      </m:oMath>
      <w:r>
        <w:t xml:space="preserve">4.34 of Core FFO in the second half**, or an average of</w:t>
      </w:r>
      <w:r>
        <w:t xml:space="preserve"> </w:t>
      </w:r>
      <w:r>
        <w:rPr>
          <w:b/>
          <w:bCs/>
        </w:rPr>
        <w:t xml:space="preserve">$2.17 per quarter</w:t>
      </w:r>
      <w:r>
        <w:t xml:space="preserve">, to reach the full-year midpoint. Thus, maintaining $8.53 implicitly requires earnings to reaccelerate.</w:t>
      </w:r>
    </w:p>
    <w:bookmarkEnd w:id="10"/>
    <w:bookmarkStart w:id="11" w:name="X3cd3ebc2713d6353551575d0d4e9d617c0d1d73"/>
    <w:p>
      <w:pPr>
        <w:pStyle w:val="Heading2"/>
      </w:pPr>
      <w:r>
        <w:t xml:space="preserve">1. Leasing spreads are the most important operating indicator</w:t>
      </w:r>
    </w:p>
    <w:p>
      <w:pPr>
        <w:pStyle w:val="FirstParagraph"/>
      </w:pPr>
      <w:r>
        <w:t xml:space="preserve">MAA’s first-quarter same-store leasing metrics were:</w:t>
      </w:r>
    </w:p>
    <w:p>
      <w:pPr>
        <w:pStyle w:val="Compact"/>
        <w:numPr>
          <w:ilvl w:val="0"/>
          <w:numId w:val="1001"/>
        </w:numPr>
      </w:pPr>
      <w:r>
        <w:rPr>
          <w:b/>
          <w:bCs/>
        </w:rPr>
        <w:t xml:space="preserve">New leases:</w:t>
      </w:r>
      <w:r>
        <w:t xml:space="preserve"> </w:t>
      </w:r>
      <w:r>
        <w:t xml:space="preserve">-7.0%</w:t>
      </w:r>
    </w:p>
    <w:p>
      <w:pPr>
        <w:pStyle w:val="Compact"/>
        <w:numPr>
          <w:ilvl w:val="0"/>
          <w:numId w:val="1001"/>
        </w:numPr>
      </w:pPr>
      <w:r>
        <w:rPr>
          <w:b/>
          <w:bCs/>
        </w:rPr>
        <w:t xml:space="preserve">Renewals:</w:t>
      </w:r>
      <w:r>
        <w:t xml:space="preserve"> </w:t>
      </w:r>
      <w:r>
        <w:t xml:space="preserve">+5.4%</w:t>
      </w:r>
    </w:p>
    <w:p>
      <w:pPr>
        <w:pStyle w:val="Compact"/>
        <w:numPr>
          <w:ilvl w:val="0"/>
          <w:numId w:val="1001"/>
        </w:numPr>
      </w:pPr>
      <w:r>
        <w:rPr>
          <w:b/>
          <w:bCs/>
        </w:rPr>
        <w:t xml:space="preserve">Blended:</w:t>
      </w:r>
      <w:r>
        <w:t xml:space="preserve"> </w:t>
      </w:r>
      <w:r>
        <w:t xml:space="preserve">-0.3%</w:t>
      </w:r>
    </w:p>
    <w:p>
      <w:pPr>
        <w:pStyle w:val="Compact"/>
        <w:numPr>
          <w:ilvl w:val="0"/>
          <w:numId w:val="1001"/>
        </w:numPr>
      </w:pPr>
      <w:r>
        <w:rPr>
          <w:b/>
          <w:bCs/>
        </w:rPr>
        <w:t xml:space="preserve">Occupancy:</w:t>
      </w:r>
      <w:r>
        <w:t xml:space="preserve"> </w:t>
      </w:r>
      <w:r>
        <w:t xml:space="preserve">95.5%</w:t>
      </w:r>
    </w:p>
    <w:p>
      <w:pPr>
        <w:pStyle w:val="Compact"/>
        <w:numPr>
          <w:ilvl w:val="0"/>
          <w:numId w:val="1001"/>
        </w:numPr>
      </w:pPr>
      <w:r>
        <w:rPr>
          <w:b/>
          <w:bCs/>
        </w:rPr>
        <w:t xml:space="preserve">Resident turnover:</w:t>
      </w:r>
      <w:r>
        <w:t xml:space="preserve"> </w:t>
      </w:r>
      <w:r>
        <w:t xml:space="preserve">39.9%, a company low</w:t>
      </w:r>
    </w:p>
    <w:p>
      <w:pPr>
        <w:pStyle w:val="FirstParagraph"/>
      </w:pPr>
      <w:r>
        <w:t xml:space="preserve">Management said April blended pricing improved from the first quarter and expected new-lease rates to strengthen through approximately July. It also maintained a full-year blended leasing assumption of</w:t>
      </w:r>
      <w:r>
        <w:t xml:space="preserve"> </w:t>
      </w:r>
      <w:r>
        <w:rPr>
          <w:b/>
          <w:bCs/>
        </w:rPr>
        <w:t xml:space="preserve">1.0%–1.5%</w:t>
      </w:r>
      <w:r>
        <w:t xml:space="preserve">, implying roughly</w:t>
      </w:r>
      <w:r>
        <w:t xml:space="preserve"> </w:t>
      </w:r>
      <w:r>
        <w:rPr>
          <w:b/>
          <w:bCs/>
        </w:rPr>
        <w:t xml:space="preserve">1.3%–1.8% across the final three quarters</w:t>
      </w:r>
      <w:r>
        <w:t xml:space="preserve"> </w:t>
      </w:r>
      <w:r>
        <w:t xml:space="preserve">after the negative first quarter.</w:t>
      </w:r>
    </w:p>
    <w:p>
      <w:pPr>
        <w:pStyle w:val="BodyText"/>
      </w:pPr>
      <w:r>
        <w:t xml:space="preserve">That sets a meaningful hurdle. Investors should look for:</w:t>
      </w:r>
    </w:p>
    <w:p>
      <w:pPr>
        <w:numPr>
          <w:ilvl w:val="0"/>
          <w:numId w:val="1002"/>
        </w:numPr>
      </w:pPr>
      <w:r>
        <w:rPr>
          <w:b/>
          <w:bCs/>
        </w:rPr>
        <w:t xml:space="preserve">Blended leasing clearly turning positive.</w:t>
      </w:r>
      <w:r>
        <w:br/>
      </w:r>
      <w:r>
        <w:t xml:space="preserve">Merely moving from -0.3% to approximately flat would represent sequential progress but would leave the full-year target increasingly dependent on a strong second half.</w:t>
      </w:r>
    </w:p>
    <w:p>
      <w:pPr>
        <w:numPr>
          <w:ilvl w:val="0"/>
          <w:numId w:val="1002"/>
        </w:numPr>
      </w:pPr>
      <w:r>
        <w:rPr>
          <w:b/>
          <w:bCs/>
        </w:rPr>
        <w:t xml:space="preserve">Material narrowing of new-lease declines.</w:t>
      </w:r>
      <w:r>
        <w:br/>
      </w:r>
      <w:r>
        <w:t xml:space="preserve">Renewal growth around 5% has done most of the work. The recovery thesis ultimately requires new leases to improve substantially from the first quarter’s -7.0%.</w:t>
      </w:r>
    </w:p>
    <w:p>
      <w:pPr>
        <w:numPr>
          <w:ilvl w:val="0"/>
          <w:numId w:val="1002"/>
        </w:numPr>
      </w:pPr>
      <w:r>
        <w:rPr>
          <w:b/>
          <w:bCs/>
        </w:rPr>
        <w:t xml:space="preserve">Stable occupancy during the pricing push.</w:t>
      </w:r>
      <w:r>
        <w:br/>
      </w:r>
      <w:r>
        <w:t xml:space="preserve">A favorable report would combine better rents with occupancy near or above 95.5%. Improving rents accompanied by materially lower occupancy would be less convincing.</w:t>
      </w:r>
    </w:p>
    <w:p>
      <w:pPr>
        <w:numPr>
          <w:ilvl w:val="0"/>
          <w:numId w:val="1002"/>
        </w:numPr>
      </w:pPr>
      <w:r>
        <w:rPr>
          <w:b/>
          <w:bCs/>
        </w:rPr>
        <w:t xml:space="preserve">Continued retention strength.</w:t>
      </w:r>
      <w:r>
        <w:br/>
      </w:r>
      <w:r>
        <w:t xml:space="preserve">High mortgage costs and limited home affordability have reduced move-outs to purchase homes. That remains a key support for renewals, occupancy and collections.</w:t>
      </w:r>
    </w:p>
    <w:p>
      <w:pPr>
        <w:pStyle w:val="FirstParagraph"/>
      </w:pPr>
      <w:r>
        <w:t xml:space="preserve">For comparison, MAA generated</w:t>
      </w:r>
      <w:r>
        <w:t xml:space="preserve"> </w:t>
      </w:r>
      <w:r>
        <w:rPr>
          <w:b/>
          <w:bCs/>
        </w:rPr>
        <w:t xml:space="preserve">0.5% blended growth in 2Q25</w:t>
      </w:r>
      <w:r>
        <w:t xml:space="preserve">, consisting of -4.8% new-lease pricing and +4.7% renewals. Beating that blended comparison would be encouraging, but the composition matters: improvement driven by new leases would carry more weight than another quarter dependent almost entirely on renewals.</w:t>
      </w:r>
    </w:p>
    <w:bookmarkEnd w:id="11"/>
    <w:bookmarkStart w:id="12" w:name="Xa933dc9944268786577afe59c4bb58563d755f4"/>
    <w:p>
      <w:pPr>
        <w:pStyle w:val="Heading2"/>
      </w:pPr>
      <w:r>
        <w:t xml:space="preserve">2. Does revenue finally turn positive?</w:t>
      </w:r>
    </w:p>
    <w:p>
      <w:pPr>
        <w:pStyle w:val="FirstParagraph"/>
      </w:pPr>
      <w:r>
        <w:t xml:space="preserve">First-quarter same-store performance remained weak: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1Q26 same-store metric</w:t>
            </w:r>
          </w:p>
        </w:tc>
        <w:tc>
          <w:tcPr/>
          <w:p>
            <w:pPr>
              <w:pStyle w:val="Compact"/>
              <w:jc w:val="right"/>
            </w:pPr>
            <w:r>
              <w:t xml:space="preserve">YoY growth</w:t>
            </w:r>
          </w:p>
        </w:tc>
      </w:tr>
      <w:tr>
        <w:tc>
          <w:tcPr/>
          <w:p>
            <w:pPr>
              <w:pStyle w:val="Compact"/>
            </w:pPr>
            <w:r>
              <w:t xml:space="preserve">Revenue</w:t>
            </w:r>
          </w:p>
        </w:tc>
        <w:tc>
          <w:tcPr/>
          <w:p>
            <w:pPr>
              <w:pStyle w:val="Compact"/>
              <w:jc w:val="right"/>
            </w:pPr>
            <w:r>
              <w:rPr>
                <w:b/>
                <w:bCs/>
              </w:rPr>
              <w:t xml:space="preserve">-0.4%</w:t>
            </w:r>
          </w:p>
        </w:tc>
      </w:tr>
      <w:tr>
        <w:tc>
          <w:tcPr/>
          <w:p>
            <w:pPr>
              <w:pStyle w:val="Compact"/>
            </w:pPr>
            <w:r>
              <w:t xml:space="preserve">Expenses</w:t>
            </w:r>
          </w:p>
        </w:tc>
        <w:tc>
          <w:tcPr/>
          <w:p>
            <w:pPr>
              <w:pStyle w:val="Compact"/>
              <w:jc w:val="right"/>
            </w:pPr>
            <w:r>
              <w:rPr>
                <w:b/>
                <w:bCs/>
              </w:rPr>
              <w:t xml:space="preserve">+1.3%</w:t>
            </w:r>
          </w:p>
        </w:tc>
      </w:tr>
      <w:tr>
        <w:tc>
          <w:tcPr/>
          <w:p>
            <w:pPr>
              <w:pStyle w:val="Compact"/>
            </w:pPr>
            <w:r>
              <w:t xml:space="preserve">NOI</w:t>
            </w:r>
          </w:p>
        </w:tc>
        <w:tc>
          <w:tcPr/>
          <w:p>
            <w:pPr>
              <w:pStyle w:val="Compact"/>
              <w:jc w:val="right"/>
            </w:pPr>
            <w:r>
              <w:rPr>
                <w:b/>
                <w:bCs/>
              </w:rPr>
              <w:t xml:space="preserve">-1.3%</w:t>
            </w:r>
          </w:p>
        </w:tc>
      </w:tr>
      <w:tr>
        <w:tc>
          <w:tcPr/>
          <w:p>
            <w:pPr>
              <w:pStyle w:val="Compact"/>
            </w:pPr>
            <w:r>
              <w:t xml:space="preserve">Average effective rent</w:t>
            </w:r>
          </w:p>
        </w:tc>
        <w:tc>
          <w:tcPr/>
          <w:p>
            <w:pPr>
              <w:pStyle w:val="Compact"/>
              <w:jc w:val="right"/>
            </w:pPr>
            <w:r>
              <w:rPr>
                <w:b/>
                <w:bCs/>
              </w:rPr>
              <w:t xml:space="preserve">-0.3%</w:t>
            </w:r>
          </w:p>
        </w:tc>
      </w:tr>
    </w:tbl>
    <w:p>
      <w:pPr>
        <w:pStyle w:val="BodyText"/>
      </w:pPr>
      <w:r>
        <w:t xml:space="preserve">MAA’s full-year midpoint calls for revenue growth of 0.55% and NOI growth of -0.70%. Consequently, revenue needs to improve from the first-quarter decline, while NOI must become progressively less negative.</w:t>
      </w:r>
    </w:p>
    <w:p>
      <w:pPr>
        <w:pStyle w:val="BodyText"/>
      </w:pPr>
      <w:r>
        <w:t xml:space="preserve">A strong second quarter would likely feature:</w:t>
      </w:r>
    </w:p>
    <w:p>
      <w:pPr>
        <w:pStyle w:val="Compact"/>
        <w:numPr>
          <w:ilvl w:val="0"/>
          <w:numId w:val="1003"/>
        </w:numPr>
      </w:pPr>
      <w:r>
        <w:t xml:space="preserve">Same-store revenue approaching or moving above zero;</w:t>
      </w:r>
    </w:p>
    <w:p>
      <w:pPr>
        <w:pStyle w:val="Compact"/>
        <w:numPr>
          <w:ilvl w:val="0"/>
          <w:numId w:val="1003"/>
        </w:numPr>
      </w:pPr>
      <w:r>
        <w:t xml:space="preserve">Improvement in average effective rent;</w:t>
      </w:r>
    </w:p>
    <w:p>
      <w:pPr>
        <w:pStyle w:val="Compact"/>
        <w:numPr>
          <w:ilvl w:val="0"/>
          <w:numId w:val="1003"/>
        </w:numPr>
      </w:pPr>
      <w:r>
        <w:t xml:space="preserve">Stable occupancy;</w:t>
      </w:r>
    </w:p>
    <w:p>
      <w:pPr>
        <w:pStyle w:val="Compact"/>
        <w:numPr>
          <w:ilvl w:val="0"/>
          <w:numId w:val="1003"/>
        </w:numPr>
      </w:pPr>
      <w:r>
        <w:t xml:space="preserve">Growth in ancillary revenue, including Wi-Fi;</w:t>
      </w:r>
    </w:p>
    <w:p>
      <w:pPr>
        <w:pStyle w:val="Compact"/>
        <w:numPr>
          <w:ilvl w:val="0"/>
          <w:numId w:val="1003"/>
        </w:numPr>
      </w:pPr>
      <w:r>
        <w:t xml:space="preserve">Expenses remaining toward the lower half of guidance.</w:t>
      </w:r>
    </w:p>
    <w:p>
      <w:pPr>
        <w:pStyle w:val="FirstParagraph"/>
      </w:pPr>
      <w:r>
        <w:t xml:space="preserve">Management expects approximately</w:t>
      </w:r>
      <w:r>
        <w:t xml:space="preserve"> </w:t>
      </w:r>
      <w:r>
        <w:rPr>
          <w:b/>
          <w:bCs/>
        </w:rPr>
        <w:t xml:space="preserve">$3 million of Wi-Fi-related revenue in 2026</w:t>
      </w:r>
      <w:r>
        <w:t xml:space="preserve">, weighted toward the middle and back half of the year as leases turn. MAA also continues to generate returns from interior renovations, property repositioning, smart-home systems and operating centralization. These initiatives are individually modest relative to portfolio revenue, but together they can help offset sluggish base rent growth.</w:t>
      </w:r>
    </w:p>
    <w:bookmarkEnd w:id="12"/>
    <w:bookmarkStart w:id="13" w:name="X4726e0558e25d360e0a7d9f9dfbd8fc82bab922"/>
    <w:p>
      <w:pPr>
        <w:pStyle w:val="Heading2"/>
      </w:pPr>
      <w:r>
        <w:t xml:space="preserve">3. Market divergence will matter</w:t>
      </w:r>
    </w:p>
    <w:p>
      <w:pPr>
        <w:pStyle w:val="FirstParagraph"/>
      </w:pPr>
      <w:r>
        <w:t xml:space="preserve">MAA’s portfolio is heavily exposed to markets that absorbed unusually high apartment deliveries. Its largest same-store NOI contributors include:</w:t>
      </w:r>
    </w:p>
    <w:p>
      <w:pPr>
        <w:pStyle w:val="Compact"/>
        <w:numPr>
          <w:ilvl w:val="0"/>
          <w:numId w:val="1004"/>
        </w:numPr>
      </w:pPr>
      <w:r>
        <w:t xml:space="preserve">Atlanta: 12.2%</w:t>
      </w:r>
    </w:p>
    <w:p>
      <w:pPr>
        <w:pStyle w:val="Compact"/>
        <w:numPr>
          <w:ilvl w:val="0"/>
          <w:numId w:val="1004"/>
        </w:numPr>
      </w:pPr>
      <w:r>
        <w:t xml:space="preserve">Dallas: 9.4%</w:t>
      </w:r>
    </w:p>
    <w:p>
      <w:pPr>
        <w:pStyle w:val="Compact"/>
        <w:numPr>
          <w:ilvl w:val="0"/>
          <w:numId w:val="1004"/>
        </w:numPr>
      </w:pPr>
      <w:r>
        <w:t xml:space="preserve">Orlando: 7.3%</w:t>
      </w:r>
    </w:p>
    <w:p>
      <w:pPr>
        <w:pStyle w:val="Compact"/>
        <w:numPr>
          <w:ilvl w:val="0"/>
          <w:numId w:val="1004"/>
        </w:numPr>
      </w:pPr>
      <w:r>
        <w:t xml:space="preserve">Tampa: 7.1%</w:t>
      </w:r>
    </w:p>
    <w:p>
      <w:pPr>
        <w:pStyle w:val="Compact"/>
        <w:numPr>
          <w:ilvl w:val="0"/>
          <w:numId w:val="1004"/>
        </w:numPr>
      </w:pPr>
      <w:r>
        <w:t xml:space="preserve">Charlotte: 6.2%</w:t>
      </w:r>
    </w:p>
    <w:p>
      <w:pPr>
        <w:pStyle w:val="Compact"/>
        <w:numPr>
          <w:ilvl w:val="0"/>
          <w:numId w:val="1004"/>
        </w:numPr>
      </w:pPr>
      <w:r>
        <w:t xml:space="preserve">Austin: 5.6%</w:t>
      </w:r>
    </w:p>
    <w:p>
      <w:pPr>
        <w:pStyle w:val="Compact"/>
        <w:numPr>
          <w:ilvl w:val="0"/>
          <w:numId w:val="1004"/>
        </w:numPr>
      </w:pPr>
      <w:r>
        <w:t xml:space="preserve">Raleigh/Durham: 5.1%</w:t>
      </w:r>
    </w:p>
    <w:p>
      <w:pPr>
        <w:pStyle w:val="Compact"/>
        <w:numPr>
          <w:ilvl w:val="0"/>
          <w:numId w:val="1004"/>
        </w:numPr>
      </w:pPr>
      <w:r>
        <w:t xml:space="preserve">Nashville: 4.8%</w:t>
      </w:r>
    </w:p>
    <w:p>
      <w:pPr>
        <w:pStyle w:val="FirstParagraph"/>
      </w:pPr>
      <w:r>
        <w:t xml:space="preserve">Management previously identified</w:t>
      </w:r>
      <w:r>
        <w:t xml:space="preserve"> </w:t>
      </w:r>
      <w:r>
        <w:rPr>
          <w:b/>
          <w:bCs/>
        </w:rPr>
        <w:t xml:space="preserve">Dallas, Houston, Charleston and Richmond</w:t>
      </w:r>
      <w:r>
        <w:t xml:space="preserve"> </w:t>
      </w:r>
      <w:r>
        <w:t xml:space="preserve">as relative outperformers. Atlanta, Dallas and Orlando also outperformed the portfolio on blended pricing in the first quarter.</w:t>
      </w:r>
    </w:p>
    <w:p>
      <w:pPr>
        <w:pStyle w:val="BodyText"/>
      </w:pPr>
      <w:r>
        <w:t xml:space="preserve">The more challenged markets include</w:t>
      </w:r>
      <w:r>
        <w:t xml:space="preserve"> </w:t>
      </w:r>
      <w:r>
        <w:rPr>
          <w:b/>
          <w:bCs/>
        </w:rPr>
        <w:t xml:space="preserve">Austin, Nashville, Phoenix and Jacksonville</w:t>
      </w:r>
      <w:r>
        <w:t xml:space="preserve">, while Charlotte is viewed largely as a 2027 recovery story because of substantial recent supply.</w:t>
      </w:r>
    </w:p>
    <w:p>
      <w:pPr>
        <w:pStyle w:val="BodyText"/>
      </w:pPr>
      <w:r>
        <w:t xml:space="preserve">The call should clarify:</w:t>
      </w:r>
    </w:p>
    <w:p>
      <w:pPr>
        <w:pStyle w:val="Compact"/>
        <w:numPr>
          <w:ilvl w:val="0"/>
          <w:numId w:val="1005"/>
        </w:numPr>
      </w:pPr>
      <w:r>
        <w:t xml:space="preserve">Whether Dallas and Atlanta retained their positive momentum;</w:t>
      </w:r>
    </w:p>
    <w:p>
      <w:pPr>
        <w:pStyle w:val="Compact"/>
        <w:numPr>
          <w:ilvl w:val="0"/>
          <w:numId w:val="1005"/>
        </w:numPr>
      </w:pPr>
      <w:r>
        <w:t xml:space="preserve">Whether Austin and Phoenix concessions continued to decline;</w:t>
      </w:r>
    </w:p>
    <w:p>
      <w:pPr>
        <w:pStyle w:val="Compact"/>
        <w:numPr>
          <w:ilvl w:val="0"/>
          <w:numId w:val="1005"/>
        </w:numPr>
      </w:pPr>
      <w:r>
        <w:t xml:space="preserve">Whether Charlotte deteriorated further or began stabilizing;</w:t>
      </w:r>
    </w:p>
    <w:p>
      <w:pPr>
        <w:pStyle w:val="Compact"/>
        <w:numPr>
          <w:ilvl w:val="0"/>
          <w:numId w:val="1005"/>
        </w:numPr>
      </w:pPr>
      <w:r>
        <w:t xml:space="preserve">Whether Raleigh/Durham and Washington, D.C.-area trends improved;</w:t>
      </w:r>
    </w:p>
    <w:p>
      <w:pPr>
        <w:pStyle w:val="Compact"/>
        <w:numPr>
          <w:ilvl w:val="0"/>
          <w:numId w:val="1005"/>
        </w:numPr>
      </w:pPr>
      <w:r>
        <w:t xml:space="preserve">How broadly competitor concessions are receding.</w:t>
      </w:r>
    </w:p>
    <w:p>
      <w:pPr>
        <w:pStyle w:val="FirstParagraph"/>
      </w:pPr>
      <w:r>
        <w:t xml:space="preserve">In the first quarter, management estimated that 60%–65% of competitors were offering concessions, commonly around four to five weeks. Evidence that both concession prevalence and duration are declining would support the 2027 recovery thesis.</w:t>
      </w:r>
    </w:p>
    <w:bookmarkEnd w:id="13"/>
    <w:bookmarkStart w:id="14" w:name="X51bf7bc9cd7781ebb1801e62b48f63f5c9ca00b"/>
    <w:p>
      <w:pPr>
        <w:pStyle w:val="Heading2"/>
      </w:pPr>
      <w:r>
        <w:t xml:space="preserve">4. Full-year guidance is more important than a small FFO beat</w:t>
      </w:r>
    </w:p>
    <w:p>
      <w:pPr>
        <w:pStyle w:val="FirstParagraph"/>
      </w:pPr>
      <w:r>
        <w:t xml:space="preserve">A two- or three-cent Core FFO beat driven by expense timing would not materially change the investment case. The higher-value information will be:</w:t>
      </w:r>
    </w:p>
    <w:p>
      <w:pPr>
        <w:pStyle w:val="Compact"/>
        <w:numPr>
          <w:ilvl w:val="0"/>
          <w:numId w:val="1006"/>
        </w:numPr>
      </w:pPr>
      <w:r>
        <w:t xml:space="preserve">Whether the</w:t>
      </w:r>
      <w:r>
        <w:t xml:space="preserve"> </w:t>
      </w:r>
      <w:r>
        <w:rPr>
          <w:b/>
          <w:bCs/>
        </w:rPr>
        <w:t xml:space="preserve">$8.53 full-year midpoint</w:t>
      </w:r>
      <w:r>
        <w:t xml:space="preserve"> </w:t>
      </w:r>
      <w:r>
        <w:t xml:space="preserve">is maintained;</w:t>
      </w:r>
    </w:p>
    <w:p>
      <w:pPr>
        <w:pStyle w:val="Compact"/>
        <w:numPr>
          <w:ilvl w:val="0"/>
          <w:numId w:val="1006"/>
        </w:numPr>
      </w:pPr>
      <w:r>
        <w:t xml:space="preserve">Whether same-store revenue and NOI guidance changes;</w:t>
      </w:r>
    </w:p>
    <w:p>
      <w:pPr>
        <w:pStyle w:val="Compact"/>
        <w:numPr>
          <w:ilvl w:val="0"/>
          <w:numId w:val="1006"/>
        </w:numPr>
      </w:pPr>
      <w:r>
        <w:t xml:space="preserve">Whether management still expects full-year blended pricing of 1.0%–1.5%;</w:t>
      </w:r>
    </w:p>
    <w:p>
      <w:pPr>
        <w:pStyle w:val="Compact"/>
        <w:numPr>
          <w:ilvl w:val="0"/>
          <w:numId w:val="1006"/>
        </w:numPr>
      </w:pPr>
      <w:r>
        <w:t xml:space="preserve">The implied Core FFO bridge from 2Q into 3Q;</w:t>
      </w:r>
    </w:p>
    <w:p>
      <w:pPr>
        <w:pStyle w:val="Compact"/>
        <w:numPr>
          <w:ilvl w:val="0"/>
          <w:numId w:val="1006"/>
        </w:numPr>
      </w:pPr>
      <w:r>
        <w:t xml:space="preserve">Commentary on July leasing and signed renewal offers.</w:t>
      </w:r>
    </w:p>
    <w:p>
      <w:pPr>
        <w:pStyle w:val="FirstParagraph"/>
      </w:pPr>
      <w:r>
        <w:t xml:space="preserve">The guidance math makes the setup particularly sensitive: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2Q Core FFO outcome</w:t>
            </w:r>
          </w:p>
        </w:tc>
        <w:tc>
          <w:tcPr/>
          <w:p>
            <w:pPr>
              <w:pStyle w:val="Compact"/>
              <w:jc w:val="right"/>
            </w:pPr>
            <w:r>
              <w:t xml:space="preserve">Core FFO needed in 2H to reach $8.53</w:t>
            </w:r>
          </w:p>
        </w:tc>
      </w:tr>
      <w:tr>
        <w:tc>
          <w:tcPr/>
          <w:p>
            <w:pPr>
              <w:pStyle w:val="Compact"/>
            </w:pPr>
            <w:r>
              <w:t xml:space="preserve">$2.00</w:t>
            </w:r>
          </w:p>
        </w:tc>
        <w:tc>
          <w:tcPr/>
          <w:p>
            <w:pPr>
              <w:pStyle w:val="Compact"/>
              <w:jc w:val="right"/>
            </w:pPr>
            <w:r>
              <w:rPr>
                <w:b/>
                <w:bCs/>
              </w:rPr>
              <w:t xml:space="preserve">$4.40</w:t>
            </w:r>
            <w:r>
              <w:t xml:space="preserve">, or $2.20/quarter</w:t>
            </w:r>
          </w:p>
        </w:tc>
      </w:tr>
      <w:tr>
        <w:tc>
          <w:tcPr/>
          <w:p>
            <w:pPr>
              <w:pStyle w:val="Compact"/>
            </w:pPr>
            <w:r>
              <w:t xml:space="preserve">$2.06</w:t>
            </w:r>
          </w:p>
        </w:tc>
        <w:tc>
          <w:tcPr/>
          <w:p>
            <w:pPr>
              <w:pStyle w:val="Compact"/>
              <w:jc w:val="right"/>
            </w:pPr>
            <w:r>
              <w:rPr>
                <w:b/>
                <w:bCs/>
              </w:rPr>
              <w:t xml:space="preserve">$4.34</w:t>
            </w:r>
            <w:r>
              <w:t xml:space="preserve">, or $2.17/quarter</w:t>
            </w:r>
          </w:p>
        </w:tc>
      </w:tr>
      <w:tr>
        <w:tc>
          <w:tcPr/>
          <w:p>
            <w:pPr>
              <w:pStyle w:val="Compact"/>
            </w:pPr>
            <w:r>
              <w:t xml:space="preserve">$2.12</w:t>
            </w:r>
          </w:p>
        </w:tc>
        <w:tc>
          <w:tcPr/>
          <w:p>
            <w:pPr>
              <w:pStyle w:val="Compact"/>
              <w:jc w:val="right"/>
            </w:pPr>
            <w:r>
              <w:rPr>
                <w:b/>
                <w:bCs/>
              </w:rPr>
              <w:t xml:space="preserve">$4.28</w:t>
            </w:r>
            <w:r>
              <w:t xml:space="preserve">, or $2.14/quarter</w:t>
            </w:r>
          </w:p>
        </w:tc>
      </w:tr>
    </w:tbl>
    <w:p>
      <w:pPr>
        <w:pStyle w:val="BodyText"/>
      </w:pPr>
      <w:r>
        <w:t xml:space="preserve">A low-end second-quarter result could still be acceptable if July leasing is strong and management has credible visibility into second-half improvement. Conversely, a modest beat paired with reduced guidance would be a negative read-through.</w:t>
      </w:r>
    </w:p>
    <w:bookmarkEnd w:id="14"/>
    <w:bookmarkStart w:id="15" w:name="X2567e25129060f40db398621fe5ae61cf21193d"/>
    <w:p>
      <w:pPr>
        <w:pStyle w:val="Heading2"/>
      </w:pPr>
      <w:r>
        <w:t xml:space="preserve">5. Development and lease-up: near-term drag, longer-term opportunity</w:t>
      </w:r>
    </w:p>
    <w:p>
      <w:pPr>
        <w:pStyle w:val="FirstParagraph"/>
      </w:pPr>
      <w:r>
        <w:t xml:space="preserve">At the end of the first quarter, MAA had:</w:t>
      </w:r>
    </w:p>
    <w:p>
      <w:pPr>
        <w:pStyle w:val="Compact"/>
        <w:numPr>
          <w:ilvl w:val="0"/>
          <w:numId w:val="1007"/>
        </w:numPr>
      </w:pPr>
      <w:r>
        <w:t xml:space="preserve">Six active developments totaling</w:t>
      </w:r>
      <w:r>
        <w:t xml:space="preserve"> </w:t>
      </w:r>
      <w:r>
        <w:rPr>
          <w:b/>
          <w:bCs/>
        </w:rPr>
        <w:t xml:space="preserve">1,788 units</w:t>
      </w:r>
      <w:r>
        <w:t xml:space="preserve">;</w:t>
      </w:r>
    </w:p>
    <w:p>
      <w:pPr>
        <w:pStyle w:val="Compact"/>
        <w:numPr>
          <w:ilvl w:val="0"/>
          <w:numId w:val="1007"/>
        </w:numPr>
      </w:pPr>
      <w:r>
        <w:t xml:space="preserve">Expected development cost of approximately</w:t>
      </w:r>
      <w:r>
        <w:t xml:space="preserve"> </w:t>
      </w:r>
      <w:r>
        <w:rPr>
          <w:b/>
          <w:bCs/>
        </w:rPr>
        <w:t xml:space="preserve">$623 million</w:t>
      </w:r>
      <w:r>
        <w:t xml:space="preserve">;</w:t>
      </w:r>
    </w:p>
    <w:p>
      <w:pPr>
        <w:pStyle w:val="Compact"/>
        <w:numPr>
          <w:ilvl w:val="0"/>
          <w:numId w:val="1007"/>
        </w:numPr>
      </w:pPr>
      <w:r>
        <w:t xml:space="preserve">Approximately</w:t>
      </w:r>
      <w:r>
        <w:t xml:space="preserve"> </w:t>
      </w:r>
      <w:r>
        <w:rPr>
          <w:b/>
          <w:bCs/>
        </w:rPr>
        <w:t xml:space="preserve">$234 million</w:t>
      </w:r>
      <w:r>
        <w:t xml:space="preserve"> </w:t>
      </w:r>
      <w:r>
        <w:t xml:space="preserve">remaining to fund on the active pipeline;</w:t>
      </w:r>
    </w:p>
    <w:p>
      <w:pPr>
        <w:pStyle w:val="Compact"/>
        <w:numPr>
          <w:ilvl w:val="0"/>
          <w:numId w:val="1007"/>
        </w:numPr>
      </w:pPr>
      <w:r>
        <w:t xml:space="preserve">Five lease-up communities totaling</w:t>
      </w:r>
      <w:r>
        <w:t xml:space="preserve"> </w:t>
      </w:r>
      <w:r>
        <w:rPr>
          <w:b/>
          <w:bCs/>
        </w:rPr>
        <w:t xml:space="preserve">1,843 units</w:t>
      </w:r>
      <w:r>
        <w:t xml:space="preserve">, at 68.3% occupancy;</w:t>
      </w:r>
    </w:p>
    <w:p>
      <w:pPr>
        <w:pStyle w:val="Compact"/>
        <w:numPr>
          <w:ilvl w:val="0"/>
          <w:numId w:val="1007"/>
        </w:numPr>
      </w:pPr>
      <w:r>
        <w:t xml:space="preserve">Approximately</w:t>
      </w:r>
      <w:r>
        <w:t xml:space="preserve"> </w:t>
      </w:r>
      <w:r>
        <w:rPr>
          <w:b/>
          <w:bCs/>
        </w:rPr>
        <w:t xml:space="preserve">$100 million</w:t>
      </w:r>
      <w:r>
        <w:t xml:space="preserve"> </w:t>
      </w:r>
      <w:r>
        <w:t xml:space="preserve">of development funding during 1Q.</w:t>
      </w:r>
    </w:p>
    <w:p>
      <w:pPr>
        <w:pStyle w:val="FirstParagraph"/>
      </w:pPr>
      <w:r>
        <w:t xml:space="preserve">Management estimated that active and recently completed developments would dilute 2026 Core FFO by approximately</w:t>
      </w:r>
      <w:r>
        <w:t xml:space="preserve"> </w:t>
      </w:r>
      <m:oMath>
        <m:r>
          <m:t>0.07</m:t>
        </m:r>
        <m:r>
          <m:t>p</m:t>
        </m:r>
        <m:r>
          <m:t>e</m:t>
        </m:r>
        <m:r>
          <m:t>r</m:t>
        </m:r>
        <m:r>
          <m:t>s</m:t>
        </m:r>
        <m:r>
          <m:t>h</m:t>
        </m:r>
        <m:r>
          <m:t>a</m:t>
        </m:r>
        <m:r>
          <m:t>r</m:t>
        </m:r>
        <m:r>
          <m:t>e</m:t>
        </m:r>
        <m:r>
          <m:rPr>
            <m:sty m:val="p"/>
          </m:rPr>
          <m:t>*</m:t>
        </m:r>
        <m:r>
          <m:rPr>
            <m:sty m:val="p"/>
          </m:rPr>
          <m:t>*</m:t>
        </m:r>
        <m:r>
          <m:rPr>
            <m:sty m:val="p"/>
          </m:rPr>
          <m:t>,</m:t>
        </m:r>
        <m:r>
          <m:t>r</m:t>
        </m:r>
        <m:r>
          <m:t>e</m:t>
        </m:r>
        <m:r>
          <m:t>f</m:t>
        </m:r>
        <m:r>
          <m:t>l</m:t>
        </m:r>
        <m:r>
          <m:t>e</m:t>
        </m:r>
        <m:r>
          <m:t>c</m:t>
        </m:r>
        <m:r>
          <m:t>t</m:t>
        </m:r>
        <m:r>
          <m:t>i</m:t>
        </m:r>
        <m:r>
          <m:t>n</m:t>
        </m:r>
        <m:r>
          <m:t>g</m:t>
        </m:r>
        <m:r>
          <m:t>i</m:t>
        </m:r>
        <m:r>
          <m:t>n</m:t>
        </m:r>
        <m:r>
          <m:t>t</m:t>
        </m:r>
        <m:r>
          <m:t>e</m:t>
        </m:r>
        <m:r>
          <m:t>r</m:t>
        </m:r>
        <m:r>
          <m:t>e</m:t>
        </m:r>
        <m:r>
          <m:t>s</m:t>
        </m:r>
        <m:r>
          <m:t>t</m:t>
        </m:r>
        <m:r>
          <m:t>e</m:t>
        </m:r>
        <m:r>
          <m:t>x</m:t>
        </m:r>
        <m:r>
          <m:t>p</m:t>
        </m:r>
        <m:r>
          <m:t>e</m:t>
        </m:r>
        <m:r>
          <m:t>n</m:t>
        </m:r>
        <m:r>
          <m:t>s</m:t>
        </m:r>
        <m:r>
          <m:t>e</m:t>
        </m:r>
        <m:r>
          <m:rPr>
            <m:sty m:val="p"/>
          </m:rPr>
          <m:t>,</m:t>
        </m:r>
        <m:r>
          <m:t>n</m:t>
        </m:r>
        <m:r>
          <m:t>e</m:t>
        </m:r>
        <m:r>
          <m:t>w</m:t>
        </m:r>
        <m:r>
          <m:t>l</m:t>
        </m:r>
        <m:r>
          <m:t>y</m:t>
        </m:r>
        <m:r>
          <m:t>d</m:t>
        </m:r>
        <m:r>
          <m:t>e</m:t>
        </m:r>
        <m:r>
          <m:t>l</m:t>
        </m:r>
        <m:r>
          <m:t>i</m:t>
        </m:r>
        <m:r>
          <m:t>v</m:t>
        </m:r>
        <m:r>
          <m:t>e</m:t>
        </m:r>
        <m:r>
          <m:t>r</m:t>
        </m:r>
        <m:r>
          <m:t>e</m:t>
        </m:r>
        <m:r>
          <m:t>d</m:t>
        </m:r>
        <m:r>
          <m:t>u</m:t>
        </m:r>
        <m:r>
          <m:t>n</m:t>
        </m:r>
        <m:r>
          <m:t>i</m:t>
        </m:r>
        <m:r>
          <m:t>t</m:t>
        </m:r>
        <m:r>
          <m:t>s</m:t>
        </m:r>
        <m:r>
          <m:t>a</m:t>
        </m:r>
        <m:r>
          <m:t>n</m:t>
        </m:r>
        <m:r>
          <m:t>d</m:t>
        </m:r>
        <m:r>
          <m:t>c</m:t>
        </m:r>
        <m:r>
          <m:t>o</m:t>
        </m:r>
        <m:r>
          <m:t>n</m:t>
        </m:r>
        <m:r>
          <m:t>c</m:t>
        </m:r>
        <m:r>
          <m:t>e</m:t>
        </m:r>
        <m:r>
          <m:t>s</m:t>
        </m:r>
        <m:r>
          <m:t>s</m:t>
        </m:r>
        <m:r>
          <m:t>i</m:t>
        </m:r>
        <m:r>
          <m:t>o</m:t>
        </m:r>
        <m:r>
          <m:t>n</m:t>
        </m:r>
        <m:r>
          <m:t>s</m:t>
        </m:r>
        <m:r>
          <m:rPr>
            <m:sty m:val="p"/>
          </m:rPr>
          <m:t>.</m:t>
        </m:r>
        <m:r>
          <m:t>O</m:t>
        </m:r>
        <m:r>
          <m:t>n</m:t>
        </m:r>
        <m:r>
          <m:t>c</m:t>
        </m:r>
        <m:r>
          <m:t>e</m:t>
        </m:r>
        <m:r>
          <m:t>s</m:t>
        </m:r>
        <m:r>
          <m:t>t</m:t>
        </m:r>
        <m:r>
          <m:t>a</m:t>
        </m:r>
        <m:r>
          <m:t>b</m:t>
        </m:r>
        <m:r>
          <m:t>i</m:t>
        </m:r>
        <m:r>
          <m:t>l</m:t>
        </m:r>
        <m:r>
          <m:t>i</m:t>
        </m:r>
        <m:r>
          <m:t>z</m:t>
        </m:r>
        <m:r>
          <m:t>e</m:t>
        </m:r>
        <m:r>
          <m:t>d</m:t>
        </m:r>
        <m:r>
          <m:t>a</m:t>
        </m:r>
        <m:r>
          <m:t>n</m:t>
        </m:r>
        <m:r>
          <m:t>d</m:t>
        </m:r>
        <m:r>
          <m:t>a</m:t>
        </m:r>
        <m:r>
          <m:t>f</m:t>
        </m:r>
        <m:r>
          <m:t>t</m:t>
        </m:r>
        <m:r>
          <m:t>e</m:t>
        </m:r>
        <m:r>
          <m:t>r</m:t>
        </m:r>
        <m:r>
          <m:t>c</m:t>
        </m:r>
        <m:r>
          <m:t>o</m:t>
        </m:r>
        <m:r>
          <m:t>n</m:t>
        </m:r>
        <m:r>
          <m:t>c</m:t>
        </m:r>
        <m:r>
          <m:t>e</m:t>
        </m:r>
        <m:r>
          <m:t>s</m:t>
        </m:r>
        <m:r>
          <m:t>s</m:t>
        </m:r>
        <m:r>
          <m:t>i</m:t>
        </m:r>
        <m:r>
          <m:t>o</m:t>
        </m:r>
        <m:r>
          <m:t>n</m:t>
        </m:r>
        <m:r>
          <m:t>s</m:t>
        </m:r>
        <m:r>
          <m:t>e</m:t>
        </m:r>
        <m:r>
          <m:t>x</m:t>
        </m:r>
        <m:r>
          <m:t>p</m:t>
        </m:r>
        <m:r>
          <m:t>i</m:t>
        </m:r>
        <m:r>
          <m:t>r</m:t>
        </m:r>
        <m:r>
          <m:t>e</m:t>
        </m:r>
        <m:r>
          <m:rPr>
            <m:sty m:val="p"/>
          </m:rPr>
          <m:t>,</m:t>
        </m:r>
        <m:r>
          <m:t>i</m:t>
        </m:r>
        <m:r>
          <m:t>t</m:t>
        </m:r>
        <m:r>
          <m:t>e</m:t>
        </m:r>
        <m:r>
          <m:t>x</m:t>
        </m:r>
        <m:r>
          <m:t>p</m:t>
        </m:r>
        <m:r>
          <m:t>e</m:t>
        </m:r>
        <m:r>
          <m:t>c</m:t>
        </m:r>
        <m:r>
          <m:t>t</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0.10 per share of annual Core FFO contribution</w:t>
      </w:r>
      <w:r>
        <w:t xml:space="preserve">.</w:t>
      </w:r>
    </w:p>
    <w:p>
      <w:pPr>
        <w:pStyle w:val="BodyText"/>
      </w:pPr>
      <w:r>
        <w:t xml:space="preserve">Investors should focus on:</w:t>
      </w:r>
    </w:p>
    <w:p>
      <w:pPr>
        <w:pStyle w:val="Compact"/>
        <w:numPr>
          <w:ilvl w:val="0"/>
          <w:numId w:val="1008"/>
        </w:numPr>
      </w:pPr>
      <w:r>
        <w:t xml:space="preserve">Lease-up velocity and concession levels;</w:t>
      </w:r>
    </w:p>
    <w:p>
      <w:pPr>
        <w:pStyle w:val="Compact"/>
        <w:numPr>
          <w:ilvl w:val="0"/>
          <w:numId w:val="1008"/>
        </w:numPr>
      </w:pPr>
      <w:r>
        <w:t xml:space="preserve">Stabilization timing for MAA Val Vista and other properties;</w:t>
      </w:r>
    </w:p>
    <w:p>
      <w:pPr>
        <w:pStyle w:val="Compact"/>
        <w:numPr>
          <w:ilvl w:val="0"/>
          <w:numId w:val="1008"/>
        </w:numPr>
      </w:pPr>
      <w:r>
        <w:t xml:space="preserve">Whether projects remain on budget;</w:t>
      </w:r>
    </w:p>
    <w:p>
      <w:pPr>
        <w:pStyle w:val="Compact"/>
        <w:numPr>
          <w:ilvl w:val="0"/>
          <w:numId w:val="1008"/>
        </w:numPr>
      </w:pPr>
      <w:r>
        <w:t xml:space="preserve">Expected development spending and new starts;</w:t>
      </w:r>
    </w:p>
    <w:p>
      <w:pPr>
        <w:pStyle w:val="Compact"/>
        <w:numPr>
          <w:ilvl w:val="0"/>
          <w:numId w:val="1008"/>
        </w:numPr>
      </w:pPr>
      <w:r>
        <w:t xml:space="preserve">Confidence in 6.0%–6.5% stabilized development yields.</w:t>
      </w:r>
    </w:p>
    <w:p>
      <w:pPr>
        <w:pStyle w:val="FirstParagraph"/>
      </w:pPr>
      <w:r>
        <w:t xml:space="preserve">MAA’s argument is that these properties will stabilize into a much less supplied 2027–2029 market. Any delays or heavier-than-expected concessions would push the payoff further out.</w:t>
      </w:r>
    </w:p>
    <w:bookmarkEnd w:id="15"/>
    <w:bookmarkStart w:id="16" w:name="X2c02b5657eca7050f6f6c150e6d715c7326cf38"/>
    <w:p>
      <w:pPr>
        <w:pStyle w:val="Heading2"/>
      </w:pPr>
      <w:r>
        <w:t xml:space="preserve">6. Balance sheet and capital allocation</w:t>
      </w:r>
    </w:p>
    <w:p>
      <w:pPr>
        <w:pStyle w:val="FirstParagraph"/>
      </w:pPr>
      <w:r>
        <w:t xml:space="preserve">MAA ended the first quarter with:</w:t>
      </w:r>
    </w:p>
    <w:p>
      <w:pPr>
        <w:pStyle w:val="Compact"/>
        <w:numPr>
          <w:ilvl w:val="0"/>
          <w:numId w:val="1009"/>
        </w:numPr>
      </w:pPr>
      <w:r>
        <w:t xml:space="preserve">Net debt/adjusted EBITDAre of</w:t>
      </w:r>
      <w:r>
        <w:t xml:space="preserve"> </w:t>
      </w:r>
      <w:r>
        <w:rPr>
          <w:b/>
          <w:bCs/>
        </w:rPr>
        <w:t xml:space="preserve">4.5x</w:t>
      </w:r>
      <w:r>
        <w:t xml:space="preserve">;</w:t>
      </w:r>
    </w:p>
    <w:p>
      <w:pPr>
        <w:pStyle w:val="Compact"/>
        <w:numPr>
          <w:ilvl w:val="0"/>
          <w:numId w:val="1009"/>
        </w:numPr>
      </w:pPr>
      <w:r>
        <w:t xml:space="preserve">Total debt of approximately</w:t>
      </w:r>
      <w:r>
        <w:t xml:space="preserve"> </w:t>
      </w:r>
      <w:r>
        <w:rPr>
          <w:b/>
          <w:bCs/>
        </w:rPr>
        <w:t xml:space="preserve">$5.7 billion</w:t>
      </w:r>
      <w:r>
        <w:t xml:space="preserve">;</w:t>
      </w:r>
    </w:p>
    <w:p>
      <w:pPr>
        <w:pStyle w:val="Compact"/>
        <w:numPr>
          <w:ilvl w:val="0"/>
          <w:numId w:val="1009"/>
        </w:numPr>
      </w:pPr>
      <w:r>
        <w:t xml:space="preserve">87% fixed-rate debt;</w:t>
      </w:r>
    </w:p>
    <w:p>
      <w:pPr>
        <w:pStyle w:val="Compact"/>
        <w:numPr>
          <w:ilvl w:val="0"/>
          <w:numId w:val="1009"/>
        </w:numPr>
      </w:pPr>
      <w:r>
        <w:t xml:space="preserve">A 3.9% average effective interest rate;</w:t>
      </w:r>
    </w:p>
    <w:p>
      <w:pPr>
        <w:pStyle w:val="Compact"/>
        <w:numPr>
          <w:ilvl w:val="0"/>
          <w:numId w:val="1009"/>
        </w:numPr>
      </w:pPr>
      <w:r>
        <w:t xml:space="preserve">Approximately $839 million of cash and revolver capacity.</w:t>
      </w:r>
    </w:p>
    <w:p>
      <w:pPr>
        <w:pStyle w:val="FirstParagraph"/>
      </w:pPr>
      <w:r>
        <w:t xml:space="preserve">In June, MAA arranged a</w:t>
      </w:r>
      <w:r>
        <w:t xml:space="preserve"> </w:t>
      </w:r>
      <w:r>
        <w:rPr>
          <w:b/>
          <w:bCs/>
        </w:rPr>
        <w:t xml:space="preserve">$350 million unsecured delayed-draw term loan</w:t>
      </w:r>
      <w:r>
        <w:t xml:space="preserve">, maturing in November 2030, with an option to increase the facility to $550 million. The financing adds flexibility ahead of debt maturities and development spending, although borrowings would carry a variable SOFR-based rate.</w:t>
      </w:r>
    </w:p>
    <w:p>
      <w:pPr>
        <w:pStyle w:val="BodyText"/>
      </w:pPr>
      <w:r>
        <w:t xml:space="preserve">Interest expense is an increasingly important offset to operating improvement. MAA also has a</w:t>
      </w:r>
      <w:r>
        <w:t xml:space="preserve"> </w:t>
      </w:r>
      <w:r>
        <w:rPr>
          <w:b/>
          <w:bCs/>
        </w:rPr>
        <w:t xml:space="preserve">$300 million, 1.2% bond maturing during 3Q26</w:t>
      </w:r>
      <w:r>
        <w:t xml:space="preserve">, meaning refinancing will occur at a materially higher rate.</w:t>
      </w:r>
    </w:p>
    <w:p>
      <w:pPr>
        <w:pStyle w:val="BodyText"/>
      </w:pPr>
      <w:r>
        <w:t xml:space="preserve">Capital-allocation questions include:</w:t>
      </w:r>
    </w:p>
    <w:p>
      <w:pPr>
        <w:pStyle w:val="Compact"/>
        <w:numPr>
          <w:ilvl w:val="0"/>
          <w:numId w:val="1010"/>
        </w:numPr>
      </w:pPr>
      <w:r>
        <w:t xml:space="preserve">How the term loan will be used;</w:t>
      </w:r>
    </w:p>
    <w:p>
      <w:pPr>
        <w:pStyle w:val="Compact"/>
        <w:numPr>
          <w:ilvl w:val="0"/>
          <w:numId w:val="1010"/>
        </w:numPr>
      </w:pPr>
      <w:r>
        <w:t xml:space="preserve">Timing and pricing of the expected second bond issuance;</w:t>
      </w:r>
    </w:p>
    <w:p>
      <w:pPr>
        <w:pStyle w:val="Compact"/>
        <w:numPr>
          <w:ilvl w:val="0"/>
          <w:numId w:val="1010"/>
        </w:numPr>
      </w:pPr>
      <w:r>
        <w:t xml:space="preserve">The interest-expense effect of refinancing;</w:t>
      </w:r>
    </w:p>
    <w:p>
      <w:pPr>
        <w:pStyle w:val="Compact"/>
        <w:numPr>
          <w:ilvl w:val="0"/>
          <w:numId w:val="1010"/>
        </w:numPr>
      </w:pPr>
      <w:r>
        <w:t xml:space="preserve">Whether share repurchases continued;</w:t>
      </w:r>
    </w:p>
    <w:p>
      <w:pPr>
        <w:pStyle w:val="Compact"/>
        <w:numPr>
          <w:ilvl w:val="0"/>
          <w:numId w:val="1010"/>
        </w:numPr>
      </w:pPr>
      <w:r>
        <w:t xml:space="preserve">Whether management still favors buybacks over acquisitions.</w:t>
      </w:r>
    </w:p>
    <w:p>
      <w:pPr>
        <w:pStyle w:val="FirstParagraph"/>
      </w:pPr>
      <w:r>
        <w:t xml:space="preserve">MAA repurchased approximately 558,000 shares at an average price of $130.46 during the first quarter. At the July 28 close of $135.67, the stock remains near that repurchase level, but higher financing costs and development commitments may limit the pace of additional buybacks.</w:t>
      </w:r>
    </w:p>
    <w:bookmarkEnd w:id="16"/>
    <w:bookmarkStart w:id="20" w:name="what-would-constitute-a-good-report"/>
    <w:p>
      <w:pPr>
        <w:pStyle w:val="Heading2"/>
      </w:pPr>
      <w:r>
        <w:t xml:space="preserve">What would constitute a good report?</w:t>
      </w:r>
    </w:p>
    <w:bookmarkStart w:id="17" w:name="bullish"/>
    <w:p>
      <w:pPr>
        <w:pStyle w:val="Heading3"/>
      </w:pPr>
      <w:r>
        <w:t xml:space="preserve">Bullish</w:t>
      </w:r>
    </w:p>
    <w:p>
      <w:pPr>
        <w:pStyle w:val="Compact"/>
        <w:numPr>
          <w:ilvl w:val="0"/>
          <w:numId w:val="1011"/>
        </w:numPr>
      </w:pPr>
      <w:r>
        <w:t xml:space="preserve">Core FFO of approximately</w:t>
      </w:r>
      <w:r>
        <w:t xml:space="preserve"> </w:t>
      </w:r>
      <w:r>
        <w:rPr>
          <w:b/>
          <w:bCs/>
        </w:rPr>
        <w:t xml:space="preserve">$2.10 or better</w:t>
      </w:r>
      <w:r>
        <w:t xml:space="preserve">;</w:t>
      </w:r>
    </w:p>
    <w:p>
      <w:pPr>
        <w:pStyle w:val="Compact"/>
        <w:numPr>
          <w:ilvl w:val="0"/>
          <w:numId w:val="1011"/>
        </w:numPr>
      </w:pPr>
      <w:r>
        <w:t xml:space="preserve">Blended leasing clearly positive and ahead of 2Q25’s 0.5%;</w:t>
      </w:r>
    </w:p>
    <w:p>
      <w:pPr>
        <w:pStyle w:val="Compact"/>
        <w:numPr>
          <w:ilvl w:val="0"/>
          <w:numId w:val="1011"/>
        </w:numPr>
      </w:pPr>
      <w:r>
        <w:t xml:space="preserve">New-lease declines narrow materially from -7.0%;</w:t>
      </w:r>
    </w:p>
    <w:p>
      <w:pPr>
        <w:pStyle w:val="Compact"/>
        <w:numPr>
          <w:ilvl w:val="0"/>
          <w:numId w:val="1011"/>
        </w:numPr>
      </w:pPr>
      <w:r>
        <w:t xml:space="preserve">Occupancy remains around 95.5% or better;</w:t>
      </w:r>
    </w:p>
    <w:p>
      <w:pPr>
        <w:pStyle w:val="Compact"/>
        <w:numPr>
          <w:ilvl w:val="0"/>
          <w:numId w:val="1011"/>
        </w:numPr>
      </w:pPr>
      <w:r>
        <w:t xml:space="preserve">Same-store revenue turns positive;</w:t>
      </w:r>
    </w:p>
    <w:p>
      <w:pPr>
        <w:pStyle w:val="Compact"/>
        <w:numPr>
          <w:ilvl w:val="0"/>
          <w:numId w:val="1011"/>
        </w:numPr>
      </w:pPr>
      <w:r>
        <w:t xml:space="preserve">Full-year Core FFO and operating guidance maintained or raised;</w:t>
      </w:r>
    </w:p>
    <w:p>
      <w:pPr>
        <w:pStyle w:val="Compact"/>
        <w:numPr>
          <w:ilvl w:val="0"/>
          <w:numId w:val="1011"/>
        </w:numPr>
      </w:pPr>
      <w:r>
        <w:t xml:space="preserve">July leasing supports further third-quarter acceleration;</w:t>
      </w:r>
    </w:p>
    <w:p>
      <w:pPr>
        <w:pStyle w:val="Compact"/>
        <w:numPr>
          <w:ilvl w:val="0"/>
          <w:numId w:val="1011"/>
        </w:numPr>
      </w:pPr>
      <w:r>
        <w:t xml:space="preserve">Lease-up velocity improves without higher concessions.</w:t>
      </w:r>
    </w:p>
    <w:bookmarkEnd w:id="17"/>
    <w:bookmarkStart w:id="18" w:name="acceptable"/>
    <w:p>
      <w:pPr>
        <w:pStyle w:val="Heading3"/>
      </w:pPr>
      <w:r>
        <w:t xml:space="preserve">Acceptable</w:t>
      </w:r>
    </w:p>
    <w:p>
      <w:pPr>
        <w:pStyle w:val="Compact"/>
        <w:numPr>
          <w:ilvl w:val="0"/>
          <w:numId w:val="1012"/>
        </w:numPr>
      </w:pPr>
      <w:r>
        <w:t xml:space="preserve">Core FFO near the</w:t>
      </w:r>
      <w:r>
        <w:t xml:space="preserve"> </w:t>
      </w:r>
      <w:r>
        <w:rPr>
          <w:b/>
          <w:bCs/>
        </w:rPr>
        <w:t xml:space="preserve">$2.06 midpoint</w:t>
      </w:r>
      <w:r>
        <w:t xml:space="preserve">;</w:t>
      </w:r>
    </w:p>
    <w:p>
      <w:pPr>
        <w:pStyle w:val="Compact"/>
        <w:numPr>
          <w:ilvl w:val="0"/>
          <w:numId w:val="1012"/>
        </w:numPr>
      </w:pPr>
      <w:r>
        <w:t xml:space="preserve">Positive but modest blended leasing;</w:t>
      </w:r>
    </w:p>
    <w:p>
      <w:pPr>
        <w:pStyle w:val="Compact"/>
        <w:numPr>
          <w:ilvl w:val="0"/>
          <w:numId w:val="1012"/>
        </w:numPr>
      </w:pPr>
      <w:r>
        <w:t xml:space="preserve">Stable occupancy and renewals near 5%;</w:t>
      </w:r>
    </w:p>
    <w:p>
      <w:pPr>
        <w:pStyle w:val="Compact"/>
        <w:numPr>
          <w:ilvl w:val="0"/>
          <w:numId w:val="1012"/>
        </w:numPr>
      </w:pPr>
      <w:r>
        <w:t xml:space="preserve">Full-year guidance reaffirmed;</w:t>
      </w:r>
    </w:p>
    <w:p>
      <w:pPr>
        <w:pStyle w:val="Compact"/>
        <w:numPr>
          <w:ilvl w:val="0"/>
          <w:numId w:val="1012"/>
        </w:numPr>
      </w:pPr>
      <w:r>
        <w:t xml:space="preserve">Management remains constructive on July and the second half.</w:t>
      </w:r>
    </w:p>
    <w:bookmarkEnd w:id="18"/>
    <w:bookmarkStart w:id="19" w:name="bearish"/>
    <w:p>
      <w:pPr>
        <w:pStyle w:val="Heading3"/>
      </w:pPr>
      <w:r>
        <w:t xml:space="preserve">Bearish</w:t>
      </w:r>
    </w:p>
    <w:p>
      <w:pPr>
        <w:pStyle w:val="Compact"/>
        <w:numPr>
          <w:ilvl w:val="0"/>
          <w:numId w:val="1013"/>
        </w:numPr>
      </w:pPr>
      <w:r>
        <w:t xml:space="preserve">Core FFO below the $2.00 low end;</w:t>
      </w:r>
    </w:p>
    <w:p>
      <w:pPr>
        <w:pStyle w:val="Compact"/>
        <w:numPr>
          <w:ilvl w:val="0"/>
          <w:numId w:val="1013"/>
        </w:numPr>
      </w:pPr>
      <w:r>
        <w:t xml:space="preserve">Blended pricing remains flat or negative;</w:t>
      </w:r>
    </w:p>
    <w:p>
      <w:pPr>
        <w:pStyle w:val="Compact"/>
        <w:numPr>
          <w:ilvl w:val="0"/>
          <w:numId w:val="1013"/>
        </w:numPr>
      </w:pPr>
      <w:r>
        <w:t xml:space="preserve">Occupancy falls below the guidance range;</w:t>
      </w:r>
    </w:p>
    <w:p>
      <w:pPr>
        <w:pStyle w:val="Compact"/>
        <w:numPr>
          <w:ilvl w:val="0"/>
          <w:numId w:val="1013"/>
        </w:numPr>
      </w:pPr>
      <w:r>
        <w:t xml:space="preserve">New-lease pricing shows little improvement;</w:t>
      </w:r>
    </w:p>
    <w:p>
      <w:pPr>
        <w:pStyle w:val="Compact"/>
        <w:numPr>
          <w:ilvl w:val="0"/>
          <w:numId w:val="1013"/>
        </w:numPr>
      </w:pPr>
      <w:r>
        <w:t xml:space="preserve">Same-store revenue remains negative;</w:t>
      </w:r>
    </w:p>
    <w:p>
      <w:pPr>
        <w:pStyle w:val="Compact"/>
        <w:numPr>
          <w:ilvl w:val="0"/>
          <w:numId w:val="1013"/>
        </w:numPr>
      </w:pPr>
      <w:r>
        <w:t xml:space="preserve">Full-year revenue, NOI or Core FFO guidance is reduced;</w:t>
      </w:r>
    </w:p>
    <w:p>
      <w:pPr>
        <w:pStyle w:val="Compact"/>
        <w:numPr>
          <w:ilvl w:val="0"/>
          <w:numId w:val="1013"/>
        </w:numPr>
      </w:pPr>
      <w:r>
        <w:t xml:space="preserve">Development stabilizations slip or concessions increase;</w:t>
      </w:r>
    </w:p>
    <w:p>
      <w:pPr>
        <w:pStyle w:val="Compact"/>
        <w:numPr>
          <w:ilvl w:val="0"/>
          <w:numId w:val="1013"/>
        </w:numPr>
      </w:pPr>
      <w:r>
        <w:t xml:space="preserve">Higher interest expense consumes the expected operating recovery.</w:t>
      </w:r>
    </w:p>
    <w:bookmarkEnd w:id="19"/>
    <w:bookmarkEnd w:id="20"/>
    <w:bookmarkStart w:id="21" w:name="bottom-line"/>
    <w:p>
      <w:pPr>
        <w:pStyle w:val="Heading2"/>
      </w:pPr>
      <w:r>
        <w:t xml:space="preserve">Bottom line</w:t>
      </w:r>
    </w:p>
    <w:p>
      <w:pPr>
        <w:pStyle w:val="FirstParagraph"/>
      </w:pPr>
      <w:r>
        <w:t xml:space="preserve">The second quarter is a test of MAA’s recovery narrative rather than simply an FFO event.</w:t>
      </w:r>
    </w:p>
    <w:p>
      <w:pPr>
        <w:pStyle w:val="BodyText"/>
      </w:pPr>
      <w:r>
        <w:t xml:space="preserve">Management has argued that declining supply, resilient demand, record retention and stable occupancy should allow new-lease pricing to improve through the spring and summer. The upcoming report needs to provide tangible evidence of that progression—particularly in new leases and same-store revenue.</w:t>
      </w:r>
    </w:p>
    <w:p>
      <w:pPr>
        <w:pStyle w:val="BodyText"/>
      </w:pPr>
      <w:r>
        <w:t xml:space="preserve">A result near guidance with improving leasing and an intact $8.53 full-year Core FFO midpoint would likely be sufficient, given MAA’s year-to-date underperformance. The strongest catalyst would be evidence that new-lease pricing is recovering broadly enough to make the required second-half earnings acceleration credible. The primary downside risk is that Sunbelt concessions remain persistent, forcing management to defer the meaningful recovery once again into 2027.</w:t>
      </w:r>
    </w:p>
    <w:p>
      <w:pPr>
        <w:pStyle w:val="BodyText"/>
      </w:pPr>
      <w:r>
        <w:rPr>
          <w:i/>
          <w:iCs/>
        </w:rPr>
        <w:t xml:space="preserve">Sources reviewed: MAA’s 1Q26 earnings release and supplemental data, 1Q26 earnings call, 1Q26 Form 10-Q, May 2026 capital-markets presentation, June 2026 term-loan filing, 2Q25 earnings release, July 2026 earnings-date announcement, and market prices through July 28, 2026.</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2026-07-29T02:02:58Z</dcterms:created>
  <dcterms:modified xsi:type="dcterms:W3CDTF">2026-07-29T02:02:58Z</dcterms:modified>
</cp:coreProperties>
</file>

<file path=docProps/custom.xml><?xml version="1.0" encoding="utf-8"?>
<Properties xmlns="http://schemas.openxmlformats.org/officeDocument/2006/custom-properties" xmlns:vt="http://schemas.openxmlformats.org/officeDocument/2006/docPropsVTypes"/>
</file>