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maa-2q26-earnings-preview"/>
    <w:p>
      <w:pPr>
        <w:pStyle w:val="Heading1"/>
      </w:pPr>
      <w:r>
        <w:t xml:space="preserve">MAA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request labels the report as “tomorrow,” but</w:t>
      </w:r>
      <w:r>
        <w:t xml:space="preserve"> </w:t>
      </w:r>
      <w:r>
        <w:rPr>
          <w:b/>
          <w:bCs/>
        </w:rPr>
        <w:t xml:space="preserve">Wednesday, July 29, 2026 is today</w:t>
      </w:r>
      <w:r>
        <w:t xml:space="preserve">. This preview is written ahead of MAA’s</w:t>
      </w:r>
      <w:r>
        <w:t xml:space="preserve"> </w:t>
      </w:r>
      <w:r>
        <w:rPr>
          <w:b/>
          <w:bCs/>
        </w:rPr>
        <w:t xml:space="preserve">2026Q2 earnings call scheduled for July 29, 2026</w:t>
      </w:r>
      <w:r>
        <w:t xml:space="preserve">.</w:t>
      </w:r>
    </w:p>
    <w:bookmarkStart w:id="9" w:name="Xcbac2eaa37c8973db427494dffc05e5353c0b74"/>
    <w:p>
      <w:pPr>
        <w:pStyle w:val="Heading2"/>
      </w:pPr>
      <w:r>
        <w:t xml:space="preserve">Investment setup: the report is about proof of a leasing inflection</w:t>
      </w:r>
    </w:p>
    <w:p>
      <w:pPr>
        <w:pStyle w:val="FirstParagraph"/>
      </w:pPr>
      <w:r>
        <w:t xml:space="preserve">MAA enters 2Q with a straightforward but consequential debate:</w:t>
      </w:r>
      <w:r>
        <w:t xml:space="preserve"> </w:t>
      </w:r>
      <w:r>
        <w:rPr>
          <w:b/>
          <w:bCs/>
        </w:rPr>
        <w:t xml:space="preserve">has the Sun Belt supply overhang eased enough for new-lease pricing to improve through the core summer leasing season?</w:t>
      </w:r>
    </w:p>
    <w:p>
      <w:pPr>
        <w:pStyle w:val="BodyText"/>
      </w:pPr>
      <w:r>
        <w:t xml:space="preserve">The company’s first-quarter message was cautiously constructive. Demand, occupancy, retention, and collections remained sound, while new-lease pricing was still negative but improving sequentially. Management’s 2026 outlook assumes that improving supply-demand conditions translate into substantially better blended lease-rate growth after 1Q. Therefore, investors are likely to focus far more on</w:t>
      </w:r>
      <w:r>
        <w:t xml:space="preserve"> </w:t>
      </w:r>
      <w:r>
        <w:rPr>
          <w:b/>
          <w:bCs/>
        </w:rPr>
        <w:t xml:space="preserve">leasing trajectory, concessions, market dispersion, and full-year same-store NOI guidance</w:t>
      </w:r>
      <w:r>
        <w:t xml:space="preserve"> </w:t>
      </w:r>
      <w:r>
        <w:t xml:space="preserve">than on a modest Core FFO variance versus quarterly guidance.</w:t>
      </w:r>
    </w:p>
    <w:p>
      <w:pPr>
        <w:pStyle w:val="BodyText"/>
      </w:pPr>
      <w:r>
        <w:t xml:space="preserve">MAA’s shares closed at</w:t>
      </w:r>
      <w:r>
        <w:t xml:space="preserve"> </w:t>
      </w:r>
      <w:r>
        <w:rPr>
          <w:b/>
          <w:bCs/>
        </w:rPr>
        <w:t xml:space="preserve">$135.67 on July 28</w:t>
      </w:r>
      <w:r>
        <w:t xml:space="preserve">, up about</w:t>
      </w:r>
      <w:r>
        <w:t xml:space="preserve"> </w:t>
      </w:r>
      <w:r>
        <w:rPr>
          <w:b/>
          <w:bCs/>
        </w:rPr>
        <w:t xml:space="preserve">4.6%</w:t>
      </w:r>
      <w:r>
        <w:t xml:space="preserve"> </w:t>
      </w:r>
      <w:r>
        <w:t xml:space="preserve">from the April 29 close immediately preceding 1Q results. At that price, the $6.12 annualized dividend implies an approximately</w:t>
      </w:r>
      <w:r>
        <w:t xml:space="preserve"> </w:t>
      </w:r>
      <w:r>
        <w:rPr>
          <w:b/>
          <w:bCs/>
        </w:rPr>
        <w:t xml:space="preserve">4.5% dividend yield</w:t>
      </w:r>
      <w:r>
        <w:t xml:space="preserve">. The stock’s recovery means the market may be less interested in merely stable results and more interested in evidence that the 2027 earnings-reacceleration narrative is becoming tangible.</w:t>
      </w:r>
    </w:p>
    <w:bookmarkEnd w:id="9"/>
    <w:bookmarkStart w:id="10" w:name="what-maa-guided-to-for-2q"/>
    <w:p>
      <w:pPr>
        <w:pStyle w:val="Heading2"/>
      </w:pPr>
      <w:r>
        <w:t xml:space="preserve">What MAA guided to for 2Q</w:t>
      </w:r>
    </w:p>
    <w:p>
      <w:pPr>
        <w:pStyle w:val="FirstParagraph"/>
      </w:pPr>
      <w:r>
        <w:t xml:space="preserve">MAA’s explicit 2Q26 Core FFO guidance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guidance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Core FFO per diluted 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2.00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2.12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1Q26 Core FFO per share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$2.13</w:t>
            </w:r>
          </w:p>
        </w:tc>
      </w:tr>
    </w:tbl>
    <w:p>
      <w:pPr>
        <w:pStyle w:val="BodyText"/>
      </w:pPr>
      <w:r>
        <w:t xml:space="preserve">The implied $0.07 sequential decline at the midpoint was not framed as a deterioration in the core thesis. MAA’s bridge called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($0.11)</w:t>
      </w:r>
      <w:r>
        <w:t xml:space="preserve"> </w:t>
      </w:r>
      <w:r>
        <w:t xml:space="preserve">from same-store NOI;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+$0.05</w:t>
      </w:r>
      <w:r>
        <w:t xml:space="preserve"> </w:t>
      </w:r>
      <w:r>
        <w:t xml:space="preserve">from lower overhead;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($0.02)</w:t>
      </w:r>
      <w:r>
        <w:t xml:space="preserve"> </w:t>
      </w:r>
      <w:r>
        <w:t xml:space="preserve">from higher interest expense;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+$0.01</w:t>
      </w:r>
      <w:r>
        <w:t xml:space="preserve"> </w:t>
      </w:r>
      <w:r>
        <w:t xml:space="preserve">from share repurchases.</w:t>
      </w:r>
    </w:p>
    <w:p>
      <w:pPr>
        <w:pStyle w:val="FirstParagraph"/>
      </w:pPr>
      <w:r>
        <w:t xml:space="preserve">Accordingly, a result around $2.06 alone would be unsurprising. The more important question is whether operating data support management’s prior expectation for</w:t>
      </w:r>
      <w:r>
        <w:t xml:space="preserve"> </w:t>
      </w:r>
      <w:r>
        <w:rPr>
          <w:b/>
          <w:bCs/>
        </w:rPr>
        <w:t xml:space="preserve">1.3%–1.8% blended lease-rate growth across the final three quarters of 2026</w:t>
      </w:r>
      <w:r>
        <w:t xml:space="preserve">—the pace needed to achieve its full-year leasing assumptions.</w:t>
      </w:r>
    </w:p>
    <w:bookmarkEnd w:id="10"/>
    <w:bookmarkStart w:id="14" w:name="the-key-operating-dashboard"/>
    <w:p>
      <w:pPr>
        <w:pStyle w:val="Heading2"/>
      </w:pPr>
      <w:r>
        <w:t xml:space="preserve">The key operating dashboard</w:t>
      </w:r>
    </w:p>
    <w:bookmarkStart w:id="11" w:name="X5e6086d185e9eb613f52265e52e031750ed06a5"/>
    <w:p>
      <w:pPr>
        <w:pStyle w:val="Heading3"/>
      </w:pPr>
      <w:r>
        <w:t xml:space="preserve">1. Blended lease-rate growth: the central KPI</w:t>
      </w:r>
    </w:p>
    <w:p>
      <w:pPr>
        <w:pStyle w:val="FirstParagraph"/>
      </w:pPr>
      <w:r>
        <w:t xml:space="preserve">In 1Q, same-store effective blended lease-rate growth was</w:t>
      </w:r>
      <w:r>
        <w:t xml:space="preserve"> </w:t>
      </w:r>
      <w:r>
        <w:rPr>
          <w:b/>
          <w:bCs/>
        </w:rPr>
        <w:t xml:space="preserve">-0.3%</w:t>
      </w:r>
      <w:r>
        <w:t xml:space="preserve">, a 140-basis-point sequential improvement. That reflected: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New-lease growth:</w:t>
      </w:r>
      <w:r>
        <w:t xml:space="preserve"> </w:t>
      </w:r>
      <w:r>
        <w:rPr>
          <w:b/>
          <w:bCs/>
        </w:rPr>
        <w:t xml:space="preserve">-7.0%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Renewal growth:</w:t>
      </w:r>
      <w:r>
        <w:t xml:space="preserve"> </w:t>
      </w:r>
      <w:r>
        <w:rPr>
          <w:b/>
          <w:bCs/>
        </w:rPr>
        <w:t xml:space="preserve">+5.4%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Average physical occupancy:</w:t>
      </w:r>
      <w:r>
        <w:t xml:space="preserve"> </w:t>
      </w:r>
      <w:r>
        <w:rPr>
          <w:b/>
          <w:bCs/>
        </w:rPr>
        <w:t xml:space="preserve">95.5%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Resident turnover:</w:t>
      </w:r>
      <w:r>
        <w:t xml:space="preserve"> </w:t>
      </w:r>
      <w:r>
        <w:rPr>
          <w:b/>
          <w:bCs/>
        </w:rPr>
        <w:t xml:space="preserve">39.9%</w:t>
      </w:r>
      <w:r>
        <w:t xml:space="preserve">, a record low trailing-twelve-month level</w:t>
      </w:r>
    </w:p>
    <w:p>
      <w:pPr>
        <w:pStyle w:val="FirstParagraph"/>
      </w:pPr>
      <w:r>
        <w:t xml:space="preserve">The setup into 2Q was encouraging: management said April occupancy remained at 95.5%, 60-day exposure was 20 bps better than the prior year, lead volumes were ahead of last year, and new-lease pricing was improving in a more normal seasonal pattern.</w:t>
      </w:r>
    </w:p>
    <w:p>
      <w:pPr>
        <w:pStyle w:val="BodyText"/>
      </w:pPr>
      <w:r>
        <w:rPr>
          <w:b/>
          <w:bCs/>
        </w:rPr>
        <w:t xml:space="preserve">What would be constructive:</w:t>
      </w:r>
      <w:r>
        <w:t xml:space="preserve"> </w:t>
      </w:r>
      <w:r>
        <w:t xml:space="preserve">New-lease losses narrowing meaningfully from -7%, continued renewal growth above 5%, stable-to-improving occupancy, and blended pricing moving into clearly positive territory by June or July.</w:t>
      </w:r>
    </w:p>
    <w:p>
      <w:pPr>
        <w:pStyle w:val="BodyText"/>
      </w:pPr>
      <w:r>
        <w:rPr>
          <w:b/>
          <w:bCs/>
        </w:rPr>
        <w:t xml:space="preserve">What would disappoint:</w:t>
      </w:r>
      <w:r>
        <w:t xml:space="preserve"> </w:t>
      </w:r>
      <w:r>
        <w:t xml:space="preserve">Another plateau in new-lease pricing, rising concessions, or a meaningful occupancy sacrifice to preserve asking rents. Investors remember that leasing momentum stalled around May in 2025; management specifically argued that 2026 should develop differently.</w:t>
      </w:r>
    </w:p>
    <w:bookmarkEnd w:id="11"/>
    <w:bookmarkStart w:id="12" w:name="Xc03315b00f950f4f6fd99b0151ac419e6d462fe"/>
    <w:p>
      <w:pPr>
        <w:pStyle w:val="Heading3"/>
      </w:pPr>
      <w:r>
        <w:t xml:space="preserve">2. Concessions and supply relief</w:t>
      </w:r>
    </w:p>
    <w:p>
      <w:pPr>
        <w:pStyle w:val="FirstParagraph"/>
      </w:pPr>
      <w:r>
        <w:t xml:space="preserve">The supply story remains highly market-specific. In the 1Q call, MAA noted that concessions across its markets were broadly around</w:t>
      </w:r>
      <w:r>
        <w:t xml:space="preserve"> </w:t>
      </w:r>
      <w:r>
        <w:rPr>
          <w:b/>
          <w:bCs/>
        </w:rPr>
        <w:t xml:space="preserve">four to five weeks</w:t>
      </w:r>
      <w:r>
        <w:t xml:space="preserve"> </w:t>
      </w:r>
      <w:r>
        <w:t xml:space="preserve">among competing properties, with some lease-up assets offering materially more. The company had begun to see modest concession relief in Dallas, Austin, Phoenix, and certain urban submarkets, but identified</w:t>
      </w:r>
      <w:r>
        <w:t xml:space="preserve"> </w:t>
      </w:r>
      <w:r>
        <w:rPr>
          <w:b/>
          <w:bCs/>
        </w:rPr>
        <w:t xml:space="preserve">Charlotte</w:t>
      </w:r>
      <w:r>
        <w:t xml:space="preserve"> </w:t>
      </w:r>
      <w:r>
        <w:t xml:space="preserve">as a likely market where pressure could persist through 2026.</w:t>
      </w:r>
    </w:p>
    <w:p>
      <w:pPr>
        <w:pStyle w:val="BodyText"/>
      </w:pPr>
      <w:r>
        <w:t xml:space="preserve">The call should clarify:</w:t>
      </w:r>
    </w:p>
    <w:p>
      <w:pPr>
        <w:pStyle w:val="Compact"/>
        <w:numPr>
          <w:ilvl w:val="0"/>
          <w:numId w:val="1003"/>
        </w:numPr>
      </w:pPr>
      <w:r>
        <w:t xml:space="preserve">Whether concessions continued to decline during May–July;</w:t>
      </w:r>
    </w:p>
    <w:p>
      <w:pPr>
        <w:pStyle w:val="Compact"/>
        <w:numPr>
          <w:ilvl w:val="0"/>
          <w:numId w:val="1003"/>
        </w:numPr>
      </w:pPr>
      <w:r>
        <w:t xml:space="preserve">Whether MAA’s largest markets—</w:t>
      </w:r>
      <w:r>
        <w:rPr>
          <w:b/>
          <w:bCs/>
        </w:rPr>
        <w:t xml:space="preserve">Atlanta, Dallas, and Orlando</w:t>
      </w:r>
      <w:r>
        <w:t xml:space="preserve">—sustained their relative strength;</w:t>
      </w:r>
    </w:p>
    <w:p>
      <w:pPr>
        <w:pStyle w:val="Compact"/>
        <w:numPr>
          <w:ilvl w:val="0"/>
          <w:numId w:val="1003"/>
        </w:numPr>
      </w:pPr>
      <w:r>
        <w:t xml:space="preserve">Whether Austin and Phoenix are moving from “less bad” to genuinely constructive; and</w:t>
      </w:r>
    </w:p>
    <w:p>
      <w:pPr>
        <w:pStyle w:val="Compact"/>
        <w:numPr>
          <w:ilvl w:val="0"/>
          <w:numId w:val="1003"/>
        </w:numPr>
      </w:pPr>
      <w:r>
        <w:t xml:space="preserve">Whether Charlotte’s supply burden is worsening results beyond the company’s expectations.</w:t>
      </w:r>
    </w:p>
    <w:p>
      <w:pPr>
        <w:pStyle w:val="FirstParagraph"/>
      </w:pPr>
      <w:r>
        <w:t xml:space="preserve">A favorable answer would validate the company’s claim that regional deliveries are falling sharply while demand remains adequate to absorb available units.</w:t>
      </w:r>
    </w:p>
    <w:bookmarkEnd w:id="12"/>
    <w:bookmarkStart w:id="13" w:name="X6a249f575e22220386082db283701e1de14730f"/>
    <w:p>
      <w:pPr>
        <w:pStyle w:val="Heading3"/>
      </w:pPr>
      <w:r>
        <w:t xml:space="preserve">3. Same-store NOI: revenue recovery versus expenses</w:t>
      </w:r>
    </w:p>
    <w:p>
      <w:pPr>
        <w:pStyle w:val="FirstParagraph"/>
      </w:pPr>
      <w:r>
        <w:t xml:space="preserve">MAA reported 1Q same-store results of: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1Q26 same-store result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Year over year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-0.4%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Expense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-1.3%</w:t>
            </w:r>
          </w:p>
        </w:tc>
      </w:tr>
    </w:tbl>
    <w:p>
      <w:pPr>
        <w:pStyle w:val="BodyText"/>
      </w:pPr>
      <w:r>
        <w:t xml:space="preserve">Full-year guidance currently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same-store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-0.2% to +1.3%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Expense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+1.9% to +3.4%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-1.7% to +0.3%</w:t>
            </w:r>
          </w:p>
        </w:tc>
      </w:tr>
    </w:tbl>
    <w:p>
      <w:pPr>
        <w:pStyle w:val="BodyText"/>
      </w:pPr>
      <w:r>
        <w:t xml:space="preserve">Management beat its 1Q expectation partly through expense control—repairs and maintenance, personnel, and marketing costs were favorable—but noted that 2Q contains normal seasonal maintenance expense. Thus, investors should distinguish between a beat driven by unusually favorable expense timing and one driven by stronger revenue/lease-rate momentum.</w:t>
      </w:r>
    </w:p>
    <w:p>
      <w:pPr>
        <w:pStyle w:val="BodyText"/>
      </w:pPr>
      <w:r>
        <w:rPr>
          <w:b/>
          <w:bCs/>
        </w:rPr>
        <w:t xml:space="preserve">The high-value outcome is a revenue-led improvement</w:t>
      </w:r>
      <w:r>
        <w:t xml:space="preserve"> </w:t>
      </w:r>
      <w:r>
        <w:t xml:space="preserve">that permits MAA to maintain or raise the midpoint of full-year same-store NOI guidance.</w:t>
      </w:r>
    </w:p>
    <w:bookmarkEnd w:id="13"/>
    <w:bookmarkEnd w:id="14"/>
    <w:bookmarkStart w:id="18" w:name="X90439763a9ff483c0e3ac3c4dcc4b4508ad6728"/>
    <w:p>
      <w:pPr>
        <w:pStyle w:val="Heading2"/>
      </w:pPr>
      <w:r>
        <w:t xml:space="preserve">Earnings quality and portfolio growth levers</w:t>
      </w:r>
    </w:p>
    <w:bookmarkStart w:id="15" w:name="X8649ffdaae09ce3f86f346fa412a3dcf00251c1"/>
    <w:p>
      <w:pPr>
        <w:pStyle w:val="Heading3"/>
      </w:pPr>
      <w:r>
        <w:t xml:space="preserve">Low turnover remains an underappreciated cushion</w:t>
      </w:r>
    </w:p>
    <w:p>
      <w:pPr>
        <w:pStyle w:val="FirstParagraph"/>
      </w:pPr>
      <w:r>
        <w:t xml:space="preserve">MAA’s 39.9% resident-turnover rate and low move-outs to homeownership have supported strong retention. This matters because strong renewals reduce the number of units exposed to still-competitive new-lease markets. The trade-off is that upside from improving spot rents takes longer to flow through a lower-turnover portfolio.</w:t>
      </w:r>
    </w:p>
    <w:p>
      <w:pPr>
        <w:pStyle w:val="BodyText"/>
      </w:pPr>
      <w:r>
        <w:t xml:space="preserve">In 2Q, investors should monitor whether retention stays strong without constraining renewal rent growth. Continued renewal pricing above 5% would be supportive of the company’s organic-growth outlook.</w:t>
      </w:r>
    </w:p>
    <w:bookmarkEnd w:id="15"/>
    <w:bookmarkStart w:id="16" w:name="Xc1991f709704d17f3c243f7d9bcaf5cbbbf47d7"/>
    <w:p>
      <w:pPr>
        <w:pStyle w:val="Heading3"/>
      </w:pPr>
      <w:r>
        <w:t xml:space="preserve">Lease-up and development: near-term drag, longer-term upside</w:t>
      </w:r>
    </w:p>
    <w:p>
      <w:pPr>
        <w:pStyle w:val="FirstParagraph"/>
      </w:pPr>
      <w:r>
        <w:t xml:space="preserve">At the end of 1Q, MAA had five lease-up communities totaling</w:t>
      </w:r>
      <w:r>
        <w:t xml:space="preserve"> </w:t>
      </w:r>
      <w:r>
        <w:rPr>
          <w:b/>
          <w:bCs/>
        </w:rPr>
        <w:t xml:space="preserve">1,843 units</w:t>
      </w:r>
      <w:r>
        <w:t xml:space="preserve"> </w:t>
      </w:r>
      <w:r>
        <w:t xml:space="preserve">at</w:t>
      </w:r>
      <w:r>
        <w:t xml:space="preserve"> </w:t>
      </w:r>
      <w:r>
        <w:rPr>
          <w:b/>
          <w:bCs/>
        </w:rPr>
        <w:t xml:space="preserve">68.3% occupancy</w:t>
      </w:r>
      <w:r>
        <w:t xml:space="preserve">. Two assets were expected to stabilize in 2Q, two in 4Q, and one in 1Q27. Lease-up economics have faced elevated concessions, but management maintained that the projects should still attain underwritten yields as their markets recover.</w:t>
      </w:r>
    </w:p>
    <w:p>
      <w:pPr>
        <w:pStyle w:val="BodyText"/>
      </w:pPr>
      <w:r>
        <w:t xml:space="preserve">The development pipeline comprised six projects and 1,788 units, with expected total cost of approximately</w:t>
      </w:r>
      <w:r>
        <w:t xml:space="preserve"> </w:t>
      </w:r>
      <m:oMath>
        <m:r>
          <m:t>623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234 million</w:t>
      </w:r>
      <w:r>
        <w:t xml:space="preserve"> </w:t>
      </w:r>
      <w:r>
        <w:t xml:space="preserve">of remaining spend at March 31. MAA reduced expected 2026 development spending to</w:t>
      </w:r>
      <w:r>
        <w:t xml:space="preserve"> </w:t>
      </w:r>
      <w:r>
        <w:rPr>
          <w:b/>
          <w:bCs/>
        </w:rPr>
        <w:t xml:space="preserve">$350 million</w:t>
      </w:r>
      <w:r>
        <w:t xml:space="preserve"> </w:t>
      </w:r>
      <w:r>
        <w:t xml:space="preserve">from $400 million because starts were delayed, not because it changed its strategic commitment to development.</w:t>
      </w:r>
    </w:p>
    <w:p>
      <w:pPr>
        <w:pStyle w:val="BodyText"/>
      </w:pPr>
      <w:r>
        <w:t xml:space="preserve">The earnings call should update:</w:t>
      </w:r>
    </w:p>
    <w:p>
      <w:pPr>
        <w:pStyle w:val="Compact"/>
        <w:numPr>
          <w:ilvl w:val="0"/>
          <w:numId w:val="1004"/>
        </w:numPr>
      </w:pPr>
      <w:r>
        <w:t xml:space="preserve">Stabilization timing and leasing velocity at the five lease-up communities;</w:t>
      </w:r>
    </w:p>
    <w:p>
      <w:pPr>
        <w:pStyle w:val="Compact"/>
        <w:numPr>
          <w:ilvl w:val="0"/>
          <w:numId w:val="1004"/>
        </w:numPr>
      </w:pPr>
      <w:r>
        <w:t xml:space="preserve">Whether concessions at lease-ups are peaking or declining;</w:t>
      </w:r>
    </w:p>
    <w:p>
      <w:pPr>
        <w:pStyle w:val="Compact"/>
        <w:numPr>
          <w:ilvl w:val="0"/>
          <w:numId w:val="1004"/>
        </w:numPr>
      </w:pPr>
      <w:r>
        <w:t xml:space="preserve">Development-start cadence and spend for 2026; and</w:t>
      </w:r>
    </w:p>
    <w:p>
      <w:pPr>
        <w:pStyle w:val="Compact"/>
        <w:numPr>
          <w:ilvl w:val="0"/>
          <w:numId w:val="1004"/>
        </w:numPr>
      </w:pPr>
      <w:r>
        <w:t xml:space="preserve">Any changes to projected development yields.</w:t>
      </w:r>
    </w:p>
    <w:p>
      <w:pPr>
        <w:pStyle w:val="FirstParagraph"/>
      </w:pPr>
      <w:r>
        <w:t xml:space="preserve">Management views development as its favored long-term external-growth channel because acquisition cap rates—around 4.5% for high-quality properties in its footprint—remain unattractive relative to internal opportunities.</w:t>
      </w:r>
    </w:p>
    <w:bookmarkEnd w:id="16"/>
    <w:bookmarkStart w:id="17" w:name="X81ef7117cb4e4cb6f7244f613f47c7f9f9c1d79"/>
    <w:p>
      <w:pPr>
        <w:pStyle w:val="Heading3"/>
      </w:pPr>
      <w:r>
        <w:t xml:space="preserve">Ancillary revenue and redevelopment can add incremental upside</w:t>
      </w:r>
    </w:p>
    <w:p>
      <w:pPr>
        <w:pStyle w:val="FirstParagraph"/>
      </w:pPr>
      <w:r>
        <w:t xml:space="preserve">MAA reported attractive early returns on its targeted capital programs: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1,386 interior renovations</w:t>
      </w:r>
      <w:r>
        <w:t xml:space="preserve"> </w:t>
      </w:r>
      <w:r>
        <w:t xml:space="preserve">completed in 1Q;</w:t>
      </w:r>
    </w:p>
    <w:p>
      <w:pPr>
        <w:pStyle w:val="Compact"/>
        <w:numPr>
          <w:ilvl w:val="0"/>
          <w:numId w:val="1005"/>
        </w:numPr>
      </w:pPr>
      <w:r>
        <w:t xml:space="preserve">About</w:t>
      </w:r>
      <w:r>
        <w:t xml:space="preserve"> </w:t>
      </w:r>
      <m:oMath>
        <m:r>
          <m:t>104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r</m:t>
        </m:r>
        <m:r>
          <m:t>e</m:t>
        </m:r>
        <m:r>
          <m:t>n</m:t>
        </m:r>
        <m:r>
          <m:t>t</m:t>
        </m:r>
        <m:r>
          <m:t>p</m:t>
        </m:r>
        <m:r>
          <m:t>r</m:t>
        </m:r>
        <m:r>
          <m:t>e</m:t>
        </m:r>
        <m:r>
          <m:t>m</m:t>
        </m:r>
        <m:r>
          <m:t>i</m:t>
        </m:r>
        <m:r>
          <m:t>u</m:t>
        </m:r>
        <m:r>
          <m:t>m</m:t>
        </m:r>
        <m:r>
          <m:t>o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7,349</w:t>
      </w:r>
      <w:r>
        <w:t xml:space="preserve"> </w:t>
      </w:r>
      <w:r>
        <w:t xml:space="preserve">of unit spend;</w:t>
      </w:r>
    </w:p>
    <w:p>
      <w:pPr>
        <w:pStyle w:val="Compact"/>
        <w:numPr>
          <w:ilvl w:val="0"/>
          <w:numId w:val="1005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17% cash-on-cash return</w:t>
      </w:r>
      <w:r>
        <w:t xml:space="preserve">; and</w:t>
      </w:r>
    </w:p>
    <w:p>
      <w:pPr>
        <w:pStyle w:val="Compact"/>
        <w:numPr>
          <w:ilvl w:val="0"/>
          <w:numId w:val="1005"/>
        </w:numPr>
      </w:pPr>
      <w:r>
        <w:t xml:space="preserve">A growing WiFi retrofit rollout expected to generate about</w:t>
      </w:r>
      <w:r>
        <w:t xml:space="preserve"> </w:t>
      </w:r>
      <w:r>
        <w:rPr>
          <w:b/>
          <w:bCs/>
        </w:rPr>
        <w:t xml:space="preserve">$3 million of 2026 revenue</w:t>
      </w:r>
      <w:r>
        <w:t xml:space="preserve">, weighted toward the second half.</w:t>
      </w:r>
    </w:p>
    <w:p>
      <w:pPr>
        <w:pStyle w:val="FirstParagraph"/>
      </w:pPr>
      <w:r>
        <w:t xml:space="preserve">These initiatives will not determine the quarter, but stronger evidence of execution can support the longer-term margin and NOI outlook—particularly if same-store rent growth remains gradual rather than explosive.</w:t>
      </w:r>
    </w:p>
    <w:bookmarkEnd w:id="17"/>
    <w:bookmarkEnd w:id="18"/>
    <w:bookmarkStart w:id="19" w:name="X65e4dc15669820b4bb2ccac9422bfe209aaa9b9"/>
    <w:p>
      <w:pPr>
        <w:pStyle w:val="Heading2"/>
      </w:pPr>
      <w:r>
        <w:t xml:space="preserve">Capital allocation and balance-sheet considerations</w:t>
      </w:r>
    </w:p>
    <w:p>
      <w:pPr>
        <w:pStyle w:val="FirstParagraph"/>
      </w:pPr>
      <w:r>
        <w:t xml:space="preserve">MAA’s balance sheet remains a differentiator, although interest expense is a near-term headwind. As of March 31, the company reported: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$5.7 billion</w:t>
      </w:r>
      <w:r>
        <w:t xml:space="preserve"> </w:t>
      </w:r>
      <w:r>
        <w:t xml:space="preserve">of total debt;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4.5x</w:t>
      </w:r>
      <w:r>
        <w:t xml:space="preserve"> </w:t>
      </w:r>
      <w:r>
        <w:t xml:space="preserve">net debt-to-adjusted EBITDAre;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3.9%</w:t>
      </w:r>
      <w:r>
        <w:t xml:space="preserve"> </w:t>
      </w:r>
      <w:r>
        <w:t xml:space="preserve">average effective interest rate;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87.1%</w:t>
      </w:r>
      <w:r>
        <w:t xml:space="preserve"> </w:t>
      </w:r>
      <w:r>
        <w:t xml:space="preserve">fixed-rate debt; and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6.1 years</w:t>
      </w:r>
      <w:r>
        <w:t xml:space="preserve"> </w:t>
      </w:r>
      <w:r>
        <w:t xml:space="preserve">average debt maturity.</w:t>
      </w:r>
    </w:p>
    <w:p>
      <w:pPr>
        <w:pStyle w:val="FirstParagraph"/>
      </w:pPr>
      <w:r>
        <w:t xml:space="preserve">In June, MAA added a</w:t>
      </w:r>
      <w:r>
        <w:t xml:space="preserve"> </w:t>
      </w:r>
      <w:r>
        <w:rPr>
          <w:b/>
          <w:bCs/>
        </w:rPr>
        <w:t xml:space="preserve">$350 million unsecured delayed-draw term-loan facility</w:t>
      </w:r>
      <w:r>
        <w:t xml:space="preserve">, with borrowing availability through December 21, 2026 and maturity in November 2030. The facility adds financing flexibility for general corporate purposes and debt repayment; it does not by itself indicate that MAA has drawn the funds or intends to pursue a specific acquisition.</w:t>
      </w:r>
    </w:p>
    <w:p>
      <w:pPr>
        <w:pStyle w:val="BodyText"/>
      </w:pPr>
      <w:r>
        <w:t xml:space="preserve">Capital allocation remains an important source of optionality. MAA repurchased</w:t>
      </w:r>
      <w:r>
        <w:t xml:space="preserve"> </w:t>
      </w:r>
      <w:r>
        <w:rPr>
          <w:b/>
          <w:bCs/>
        </w:rPr>
        <w:t xml:space="preserve">$73 million</w:t>
      </w:r>
      <w:r>
        <w:t xml:space="preserve"> </w:t>
      </w:r>
      <w:r>
        <w:t xml:space="preserve">of stock in 1Q at an average price of $130.46 while also maintaining a development pipeline. Investors should listen for whether buybacks continued at the higher share price, whether dispositions funded capital needs, and whether management remains committed to preserving leverage capacity.</w:t>
      </w:r>
    </w:p>
    <w:bookmarkEnd w:id="19"/>
    <w:bookmarkStart w:id="22" w:name="what-could-move-the-stock"/>
    <w:p>
      <w:pPr>
        <w:pStyle w:val="Heading2"/>
      </w:pPr>
      <w:r>
        <w:t xml:space="preserve">What could move the stock</w:t>
      </w:r>
    </w:p>
    <w:bookmarkStart w:id="20" w:name="bull-case-for-the-print"/>
    <w:p>
      <w:pPr>
        <w:pStyle w:val="Heading3"/>
      </w:pPr>
      <w:r>
        <w:t xml:space="preserve">Bull case for the print</w:t>
      </w:r>
    </w:p>
    <w:p>
      <w:pPr>
        <w:pStyle w:val="Compact"/>
        <w:numPr>
          <w:ilvl w:val="0"/>
          <w:numId w:val="1007"/>
        </w:numPr>
      </w:pPr>
      <w:r>
        <w:t xml:space="preserve">Blended lease growth turns decisively positive, with new-lease rates improving faster than expected.</w:t>
      </w:r>
    </w:p>
    <w:p>
      <w:pPr>
        <w:pStyle w:val="Compact"/>
        <w:numPr>
          <w:ilvl w:val="0"/>
          <w:numId w:val="1007"/>
        </w:numPr>
      </w:pPr>
      <w:r>
        <w:t xml:space="preserve">Concessions decline across more markets, not just Dallas and Atlanta.</w:t>
      </w:r>
    </w:p>
    <w:p>
      <w:pPr>
        <w:pStyle w:val="Compact"/>
        <w:numPr>
          <w:ilvl w:val="0"/>
          <w:numId w:val="1007"/>
        </w:numPr>
      </w:pPr>
      <w:r>
        <w:t xml:space="preserve">Occupancy and renewal economics remain strong simultaneously.</w:t>
      </w:r>
    </w:p>
    <w:p>
      <w:pPr>
        <w:pStyle w:val="Compact"/>
        <w:numPr>
          <w:ilvl w:val="0"/>
          <w:numId w:val="1007"/>
        </w:numPr>
      </w:pPr>
      <w:r>
        <w:t xml:space="preserve">Same-store revenue growth inflects upward enough to support a higher full-year NOI or Core FFO outlook.</w:t>
      </w:r>
    </w:p>
    <w:p>
      <w:pPr>
        <w:pStyle w:val="Compact"/>
        <w:numPr>
          <w:ilvl w:val="0"/>
          <w:numId w:val="1007"/>
        </w:numPr>
      </w:pPr>
      <w:r>
        <w:t xml:space="preserve">Lease-up absorption and stabilization track ahead of plan.</w:t>
      </w:r>
    </w:p>
    <w:p>
      <w:pPr>
        <w:pStyle w:val="Compact"/>
        <w:numPr>
          <w:ilvl w:val="0"/>
          <w:numId w:val="1007"/>
        </w:numPr>
      </w:pPr>
      <w:r>
        <w:t xml:space="preserve">Management speaks more confidently about a 2027 recovery.</w:t>
      </w:r>
    </w:p>
    <w:bookmarkEnd w:id="20"/>
    <w:bookmarkStart w:id="21" w:name="bear-case-for-the-print"/>
    <w:p>
      <w:pPr>
        <w:pStyle w:val="Heading3"/>
      </w:pPr>
      <w:r>
        <w:t xml:space="preserve">Bear case for the print</w:t>
      </w:r>
    </w:p>
    <w:p>
      <w:pPr>
        <w:pStyle w:val="Compact"/>
        <w:numPr>
          <w:ilvl w:val="0"/>
          <w:numId w:val="1008"/>
        </w:numPr>
      </w:pPr>
      <w:r>
        <w:t xml:space="preserve">New-lease pricing fails to improve during the peak leasing period.</w:t>
      </w:r>
    </w:p>
    <w:p>
      <w:pPr>
        <w:pStyle w:val="Compact"/>
        <w:numPr>
          <w:ilvl w:val="0"/>
          <w:numId w:val="1008"/>
        </w:numPr>
      </w:pPr>
      <w:r>
        <w:t xml:space="preserve">Concessions rise or remain stubbornly elevated in Austin, Charlotte, Phoenix, or other supply-pressured markets.</w:t>
      </w:r>
    </w:p>
    <w:p>
      <w:pPr>
        <w:pStyle w:val="Compact"/>
        <w:numPr>
          <w:ilvl w:val="0"/>
          <w:numId w:val="1008"/>
        </w:numPr>
      </w:pPr>
      <w:r>
        <w:t xml:space="preserve">Occupancy declines to defend pricing, or renewal growth weakens.</w:t>
      </w:r>
    </w:p>
    <w:p>
      <w:pPr>
        <w:pStyle w:val="Compact"/>
        <w:numPr>
          <w:ilvl w:val="0"/>
          <w:numId w:val="1008"/>
        </w:numPr>
      </w:pPr>
      <w:r>
        <w:t xml:space="preserve">Expense pressure overwhelms revenue improvement, keeping NOI negative.</w:t>
      </w:r>
    </w:p>
    <w:p>
      <w:pPr>
        <w:pStyle w:val="Compact"/>
        <w:numPr>
          <w:ilvl w:val="0"/>
          <w:numId w:val="1008"/>
        </w:numPr>
      </w:pPr>
      <w:r>
        <w:t xml:space="preserve">Full-year same-store NOI guidance is cut or its range is skewed more negatively.</w:t>
      </w:r>
    </w:p>
    <w:p>
      <w:pPr>
        <w:pStyle w:val="Compact"/>
        <w:numPr>
          <w:ilvl w:val="0"/>
          <w:numId w:val="1008"/>
        </w:numPr>
      </w:pPr>
      <w:r>
        <w:t xml:space="preserve">Incremental debt and interest expense become a larger drag than anticipated.</w:t>
      </w:r>
    </w:p>
    <w:bookmarkEnd w:id="21"/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MAA does not need a large 2Q Core FFO beat to deliver a constructive report. It needs to demonstrate that the</w:t>
      </w:r>
      <w:r>
        <w:t xml:space="preserve"> </w:t>
      </w:r>
      <w:r>
        <w:rPr>
          <w:b/>
          <w:bCs/>
        </w:rPr>
        <w:t xml:space="preserve">leasing improvement described in April continued through the summer</w:t>
      </w:r>
      <w:r>
        <w:t xml:space="preserve">: narrowing new-lease losses, durable renewal growth, stable occupancy, lower concessions, and an inflecting same-store revenue trend.</w:t>
      </w:r>
    </w:p>
    <w:p>
      <w:pPr>
        <w:pStyle w:val="BodyText"/>
      </w:pPr>
      <w:r>
        <w:t xml:space="preserve">The quarter is best viewed as a test of whether MAA’s projected transition from</w:t>
      </w:r>
      <w:r>
        <w:t xml:space="preserve"> </w:t>
      </w:r>
      <w:r>
        <w:rPr>
          <w:b/>
          <w:bCs/>
        </w:rPr>
        <w:t xml:space="preserve">-0.3% blended lease growth in 1Q</w:t>
      </w:r>
      <w:r>
        <w:t xml:space="preserve"> </w:t>
      </w:r>
      <w:r>
        <w:t xml:space="preserve">toward positive pricing through the balance of 2026 is on track. Confirmation would strengthen the case for improved NOI and FFO growth in 2027; a stalled leasing trajectory would likely defer that recovery narrative again.</w:t>
      </w:r>
    </w:p>
    <w:p>
      <w:pPr>
        <w:pStyle w:val="BodyText"/>
      </w:pPr>
      <w:r>
        <w:rPr>
          <w:i/>
          <w:iCs/>
        </w:rPr>
        <w:t xml:space="preserve">This preview uses MAA’s 1Q26 earnings release and earnings-call transcript, its June 2026 term-loan 8-K, and market-price data through July 28, 2026. It does not incorporate third-party consensus estimates.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2026-07-29T02:01:55Z</dcterms:created>
  <dcterms:modified xsi:type="dcterms:W3CDTF">2026-07-29T02:01:55Z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