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MAA (Mid-America Apartment Communities) — Q2 2026 Earnings Preview</w:t>
      </w:r>
    </w:p>
    <w:p>
      <w:r>
        <w:rPr>
          <w:rFonts w:ascii="Calibri" w:hAnsi="Calibri"/>
          <w:b/>
          <w:color w:val="525866"/>
          <w:sz w:val="22"/>
        </w:rPr>
        <w:t xml:space="preserve">Ticker: </w:t>
      </w:r>
      <w:r>
        <w:rPr>
          <w:rFonts w:ascii="Calibri" w:hAnsi="Calibri"/>
          <w:color w:val="525866"/>
          <w:sz w:val="22"/>
        </w:rPr>
        <w:t xml:space="preserve">MAA  </w:t>
      </w:r>
      <w:r>
        <w:rPr>
          <w:rFonts w:ascii="Calibri" w:hAnsi="Calibri"/>
          <w:b/>
          <w:color w:val="525866"/>
          <w:sz w:val="22"/>
        </w:rPr>
        <w:t xml:space="preserve">  |  Upcoming Earnings: </w:t>
      </w:r>
      <w:r>
        <w:rPr>
          <w:rFonts w:ascii="Calibri" w:hAnsi="Calibri"/>
          <w:color w:val="525866"/>
          <w:sz w:val="22"/>
        </w:rPr>
        <w:t xml:space="preserve">Q2 2026 (date TBA; release announced July 1, 2026)  </w:t>
      </w:r>
      <w:r>
        <w:rPr>
          <w:rFonts w:ascii="Calibri" w:hAnsi="Calibri"/>
          <w:b/>
          <w:color w:val="525866"/>
          <w:sz w:val="22"/>
        </w:rPr>
        <w:t xml:space="preserve">  |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beatable bar on Core FFO, and the biggest swing factor is whether new lease rate acceleration held through the quarter after the strong May data point confirmed at Nareit.</w:t>
      </w:r>
    </w:p>
    <w:p>
      <w:r>
        <w:rPr>
          <w:rFonts w:ascii="Calibri" w:hAnsi="Calibri"/>
          <w:color w:val="525866"/>
          <w:sz w:val="22"/>
        </w:rPr>
        <w:t xml:space="preserve">Heading into Q2 2026, the bar looks achievable: consensus Core FFO of ~$2.08/share sits just above management's $2.06 midpoint guidance, leaving limited room for a large beat but also a well-anchored floor. </w:t>
      </w:r>
      <w:r>
        <w:rPr>
          <w:rFonts w:ascii="Calibri" w:hAnsi="Calibri"/>
          <w:color w:val="525866"/>
          <w:sz w:val="22"/>
        </w:rPr>
        <w:t xml:space="preserve">Management's tone has shifted meaningfully more constructive since the Q1 print — at the June Nareit conference, the team reported May blended lease-over-lease rates at the highest level in nearly two years, with new lease rates up even more sharply and rent traction continuing unlike the mid-May stall seen in 2025, a direct contrast to the cautious framing that weighed on the stock through much of 2025. </w:t>
      </w:r>
      <w:r>
        <w:rPr>
          <w:rFonts w:ascii="Calibri" w:hAnsi="Calibri"/>
          <w:color w:val="525866"/>
          <w:sz w:val="22"/>
        </w:rPr>
        <w:t xml:space="preserve">Estimate revisions have been essentially flat since the Q1 print (FY 2026 Core FFO consensus ~$8.50 vs. $8.47 at the post-Q1 baseline), suggesting the market has not yet fully priced in the improving leasing data — a potential source of upside surprise if Q2 blended rates come in above the ~0.87% consensus. </w:t>
      </w:r>
      <w:r>
        <w:rPr>
          <w:rFonts w:ascii="Calibri" w:hAnsi="Calibri"/>
          <w:color w:val="525866"/>
          <w:sz w:val="22"/>
        </w:rPr>
        <w:t xml:space="preserve">The stock has rallied ~4.6% since the April 29 earnings date (to ~$135.64 as of July 28), outperforming SPY (+4.1%) but lagging VNQ (+6.4%), implying the market has partially re-rated MAA on improving fundamentals but has not yet awarded a full recovery premium. </w:t>
      </w:r>
      <w:r>
        <w:rPr>
          <w:rFonts w:ascii="Calibri" w:hAnsi="Calibri"/>
          <w:color w:val="525866"/>
          <w:sz w:val="22"/>
        </w:rPr>
        <w:t>The key wildcard is the magnitude of new lease rate improvement in Q2: peers UDR and EQR, which reported Q2 2026 results this week, showed Sunbelt new lease rates still running negative (UDR Sunbelt: ~-7% to -7.5% in Q2, improving to ~-5.5% to -6% in July; EQR overall new lease: -0.7% in Q2), suggesting MAA's Sunbelt-heavy portfolio may still face headwinds on new leases even as blended rates improve on strong renewals — making same-store revenue the key line to watch.</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sits at a low-to-moderate bar on Core FFO ($2.08 vs. $2.06 guidance midpoint), but same-store revenue growth (consensus ~0.0%) is the bigger swing factor — any upside there flows directly to NOI and could drive a meaningful beat given MAA's track record of expense discipline.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 Diluted ($)</w:t>
            </w:r>
          </w:p>
        </w:tc>
        <w:tc>
          <w:tcPr>
            <w:tcW w:type="dxa" w:w="1234"/>
          </w:tcPr>
          <w:p>
            <w:r>
              <w:rPr>
                <w:rFonts w:ascii="Calibri" w:hAnsi="Calibri"/>
                <w:sz w:val="22"/>
              </w:rPr>
              <w:t>$2.13</w:t>
            </w:r>
          </w:p>
        </w:tc>
        <w:tc>
          <w:tcPr>
            <w:tcW w:type="dxa" w:w="1234"/>
          </w:tcPr>
          <w:p>
            <w:r>
              <w:rPr>
                <w:rFonts w:ascii="Calibri" w:hAnsi="Calibri"/>
                <w:sz w:val="22"/>
              </w:rPr>
              <w:t>$2.15</w:t>
            </w:r>
          </w:p>
        </w:tc>
        <w:tc>
          <w:tcPr>
            <w:tcW w:type="dxa" w:w="1234"/>
          </w:tcPr>
          <w:p>
            <w:r>
              <w:rPr>
                <w:rFonts w:ascii="Calibri" w:hAnsi="Calibri"/>
                <w:sz w:val="22"/>
              </w:rPr>
              <w:t>$2.08</w:t>
            </w:r>
          </w:p>
        </w:tc>
        <w:tc>
          <w:tcPr>
            <w:tcW w:type="dxa" w:w="1234"/>
          </w:tcPr>
          <w:p>
            <w:r>
              <w:rPr>
                <w:rFonts w:ascii="Calibri" w:hAnsi="Calibri"/>
                <w:sz w:val="22"/>
              </w:rPr>
              <w:t>-3.3%</w:t>
            </w:r>
          </w:p>
        </w:tc>
        <w:tc>
          <w:tcPr>
            <w:tcW w:type="dxa" w:w="1234"/>
          </w:tcPr>
          <w:p>
            <w:r>
              <w:rPr>
                <w:rFonts w:ascii="Calibri" w:hAnsi="Calibri"/>
                <w:sz w:val="22"/>
              </w:rPr>
              <w:t>$2.06</w:t>
            </w:r>
          </w:p>
        </w:tc>
        <w:tc>
          <w:tcPr>
            <w:tcW w:type="dxa" w:w="1234"/>
          </w:tcPr>
          <w:p>
            <w:r>
              <w:rPr>
                <w:rFonts w:ascii="Calibri" w:hAnsi="Calibri"/>
                <w:sz w:val="22"/>
              </w:rPr>
              <w:t>+1.0%</w:t>
            </w:r>
          </w:p>
        </w:tc>
      </w:tr>
      <w:tr>
        <w:tc>
          <w:tcPr>
            <w:tcW w:type="dxa" w:w="1234"/>
          </w:tcPr>
          <w:p>
            <w:r>
              <w:rPr>
                <w:rFonts w:ascii="Calibri" w:hAnsi="Calibri"/>
                <w:sz w:val="22"/>
              </w:rPr>
              <w:t>Same-Store Revenue Growth YoY (%)</w:t>
            </w:r>
          </w:p>
        </w:tc>
        <w:tc>
          <w:tcPr>
            <w:tcW w:type="dxa" w:w="1234"/>
          </w:tcPr>
          <w:p>
            <w:r>
              <w:rPr>
                <w:rFonts w:ascii="Calibri" w:hAnsi="Calibri"/>
                <w:sz w:val="22"/>
              </w:rPr>
              <w:t>-0.4%</w:t>
            </w:r>
          </w:p>
        </w:tc>
        <w:tc>
          <w:tcPr>
            <w:tcW w:type="dxa" w:w="1234"/>
          </w:tcPr>
          <w:p>
            <w:r>
              <w:rPr>
                <w:rFonts w:ascii="Calibri" w:hAnsi="Calibri"/>
                <w:sz w:val="22"/>
              </w:rPr>
              <w:t>-0.3%</w:t>
            </w:r>
          </w:p>
        </w:tc>
        <w:tc>
          <w:tcPr>
            <w:tcW w:type="dxa" w:w="1234"/>
          </w:tcPr>
          <w:p>
            <w:r>
              <w:rPr>
                <w:rFonts w:ascii="Calibri" w:hAnsi="Calibri"/>
                <w:sz w:val="22"/>
              </w:rPr>
              <w:t>~0.0%</w:t>
            </w:r>
          </w:p>
        </w:tc>
        <w:tc>
          <w:tcPr>
            <w:tcW w:type="dxa" w:w="1234"/>
          </w:tcPr>
          <w:p>
            <w:r>
              <w:rPr>
                <w:rFonts w:ascii="Calibri" w:hAnsi="Calibri"/>
                <w:sz w:val="22"/>
              </w:rPr>
              <w:t>+30 bps YoY</w:t>
            </w:r>
          </w:p>
        </w:tc>
        <w:tc>
          <w:tcPr>
            <w:tcW w:type="dxa" w:w="1234"/>
          </w:tcPr>
          <w:p>
            <w:r>
              <w:rPr>
                <w:rFonts w:ascii="Calibri" w:hAnsi="Calibri"/>
                <w:sz w:val="22"/>
              </w:rPr>
              <w:t>0.55% (FY midpoint)</w:t>
            </w:r>
          </w:p>
        </w:tc>
        <w:tc>
          <w:tcPr>
            <w:tcW w:type="dxa" w:w="1234"/>
          </w:tcPr>
          <w:p>
            <w:r>
              <w:rPr>
                <w:rFonts w:ascii="Calibri" w:hAnsi="Calibri"/>
                <w:sz w:val="22"/>
              </w:rPr>
              <w:t>N/A (FY metric)</w:t>
            </w:r>
          </w:p>
        </w:tc>
      </w:tr>
      <w:tr>
        <w:tc>
          <w:tcPr>
            <w:tcW w:type="dxa" w:w="1234"/>
          </w:tcPr>
          <w:p>
            <w:r>
              <w:rPr>
                <w:rFonts w:ascii="Calibri" w:hAnsi="Calibri"/>
                <w:sz w:val="22"/>
              </w:rPr>
              <w:t>Same-Store NOI Growth YoY (%)</w:t>
            </w:r>
          </w:p>
        </w:tc>
        <w:tc>
          <w:tcPr>
            <w:tcW w:type="dxa" w:w="1234"/>
          </w:tcPr>
          <w:p>
            <w:r>
              <w:rPr>
                <w:rFonts w:ascii="Calibri" w:hAnsi="Calibri"/>
                <w:sz w:val="22"/>
              </w:rPr>
              <w:t>-1.3%</w:t>
            </w:r>
          </w:p>
        </w:tc>
        <w:tc>
          <w:tcPr>
            <w:tcW w:type="dxa" w:w="1234"/>
          </w:tcPr>
          <w:p>
            <w:r>
              <w:rPr>
                <w:rFonts w:ascii="Calibri" w:hAnsi="Calibri"/>
                <w:sz w:val="22"/>
              </w:rPr>
              <w:t>-2.6%</w:t>
            </w:r>
          </w:p>
        </w:tc>
        <w:tc>
          <w:tcPr>
            <w:tcW w:type="dxa" w:w="1234"/>
          </w:tcPr>
          <w:p>
            <w:r>
              <w:rPr>
                <w:rFonts w:ascii="Calibri" w:hAnsi="Calibri"/>
                <w:sz w:val="22"/>
              </w:rPr>
              <w:t>-1.5%</w:t>
            </w:r>
          </w:p>
        </w:tc>
        <w:tc>
          <w:tcPr>
            <w:tcW w:type="dxa" w:w="1234"/>
          </w:tcPr>
          <w:p>
            <w:r>
              <w:rPr>
                <w:rFonts w:ascii="Calibri" w:hAnsi="Calibri"/>
                <w:sz w:val="22"/>
              </w:rPr>
              <w:t>+110 bps YoY</w:t>
            </w:r>
          </w:p>
        </w:tc>
        <w:tc>
          <w:tcPr>
            <w:tcW w:type="dxa" w:w="1234"/>
          </w:tcPr>
          <w:p>
            <w:r>
              <w:rPr>
                <w:rFonts w:ascii="Calibri" w:hAnsi="Calibri"/>
                <w:sz w:val="22"/>
              </w:rPr>
              <w:t>-0.70% (FY midpoint)</w:t>
            </w:r>
          </w:p>
        </w:tc>
        <w:tc>
          <w:tcPr>
            <w:tcW w:type="dxa" w:w="1234"/>
          </w:tcPr>
          <w:p>
            <w:r>
              <w:rPr>
                <w:rFonts w:ascii="Calibri" w:hAnsi="Calibri"/>
                <w:sz w:val="22"/>
              </w:rPr>
              <w:t>N/A (FY metric)</w:t>
            </w:r>
          </w:p>
        </w:tc>
      </w:tr>
      <w:tr>
        <w:tc>
          <w:tcPr>
            <w:tcW w:type="dxa" w:w="1234"/>
          </w:tcPr>
          <w:p>
            <w:r>
              <w:rPr>
                <w:rFonts w:ascii="Calibri" w:hAnsi="Calibri"/>
                <w:sz w:val="22"/>
              </w:rPr>
              <w:t>Effective Blended Lease Rate — Same Store (%)</w:t>
            </w:r>
          </w:p>
        </w:tc>
        <w:tc>
          <w:tcPr>
            <w:tcW w:type="dxa" w:w="1234"/>
          </w:tcPr>
          <w:p>
            <w:r>
              <w:rPr>
                <w:rFonts w:ascii="Calibri" w:hAnsi="Calibri"/>
                <w:sz w:val="22"/>
              </w:rPr>
              <w:t>-0.3%</w:t>
            </w:r>
          </w:p>
        </w:tc>
        <w:tc>
          <w:tcPr>
            <w:tcW w:type="dxa" w:w="1234"/>
          </w:tcPr>
          <w:p>
            <w:r>
              <w:rPr>
                <w:rFonts w:ascii="Calibri" w:hAnsi="Calibri"/>
                <w:sz w:val="22"/>
              </w:rPr>
              <w:t>+0.5%</w:t>
            </w:r>
          </w:p>
        </w:tc>
        <w:tc>
          <w:tcPr>
            <w:tcW w:type="dxa" w:w="1234"/>
          </w:tcPr>
          <w:p>
            <w:r>
              <w:rPr>
                <w:rFonts w:ascii="Calibri" w:hAnsi="Calibri"/>
                <w:sz w:val="22"/>
              </w:rPr>
              <w:t>+0.87%</w:t>
            </w:r>
          </w:p>
        </w:tc>
        <w:tc>
          <w:tcPr>
            <w:tcW w:type="dxa" w:w="1234"/>
          </w:tcPr>
          <w:p>
            <w:r>
              <w:rPr>
                <w:rFonts w:ascii="Calibri" w:hAnsi="Calibri"/>
                <w:sz w:val="22"/>
              </w:rPr>
              <w:t>+37 bps YoY</w:t>
            </w:r>
          </w:p>
        </w:tc>
        <w:tc>
          <w:tcPr>
            <w:tcW w:type="dxa" w:w="1234"/>
          </w:tcPr>
          <w:p>
            <w:r>
              <w:rPr>
                <w:rFonts w:ascii="Calibri" w:hAnsi="Calibri"/>
                <w:sz w:val="22"/>
              </w:rPr>
              <w:t>1.0%–1.5% (FY blended)</w:t>
            </w:r>
          </w:p>
        </w:tc>
        <w:tc>
          <w:tcPr>
            <w:tcW w:type="dxa" w:w="1234"/>
          </w:tcPr>
          <w:p>
            <w:r>
              <w:rPr>
                <w:rFonts w:ascii="Calibri" w:hAnsi="Calibri"/>
                <w:sz w:val="22"/>
              </w:rPr>
              <w:t>N/A (FY metric)</w:t>
            </w:r>
          </w:p>
        </w:tc>
      </w:tr>
      <w:tr>
        <w:tc>
          <w:tcPr>
            <w:tcW w:type="dxa" w:w="1234"/>
          </w:tcPr>
          <w:p>
            <w:r>
              <w:rPr>
                <w:rFonts w:ascii="Calibri" w:hAnsi="Calibri"/>
                <w:sz w:val="22"/>
              </w:rPr>
              <w:t>Effective New Lease Rate — Same Store (%)</w:t>
            </w:r>
          </w:p>
        </w:tc>
        <w:tc>
          <w:tcPr>
            <w:tcW w:type="dxa" w:w="1234"/>
          </w:tcPr>
          <w:p>
            <w:r>
              <w:rPr>
                <w:rFonts w:ascii="Calibri" w:hAnsi="Calibri"/>
                <w:sz w:val="22"/>
              </w:rPr>
              <w:t>-7.0%</w:t>
            </w:r>
          </w:p>
        </w:tc>
        <w:tc>
          <w:tcPr>
            <w:tcW w:type="dxa" w:w="1234"/>
          </w:tcPr>
          <w:p>
            <w:r>
              <w:rPr>
                <w:rFonts w:ascii="Calibri" w:hAnsi="Calibri"/>
                <w:sz w:val="22"/>
              </w:rPr>
              <w:t>-4.8%</w:t>
            </w:r>
          </w:p>
        </w:tc>
        <w:tc>
          <w:tcPr>
            <w:tcW w:type="dxa" w:w="1234"/>
          </w:tcPr>
          <w:p>
            <w:r>
              <w:rPr>
                <w:rFonts w:ascii="Calibri" w:hAnsi="Calibri"/>
                <w:sz w:val="22"/>
              </w:rPr>
              <w:t>-5.0%</w:t>
            </w:r>
          </w:p>
        </w:tc>
        <w:tc>
          <w:tcPr>
            <w:tcW w:type="dxa" w:w="1234"/>
          </w:tcPr>
          <w:p>
            <w:r>
              <w:rPr>
                <w:rFonts w:ascii="Calibri" w:hAnsi="Calibri"/>
                <w:sz w:val="22"/>
              </w:rPr>
              <w:t>+200 bps YoY</w:t>
            </w:r>
          </w:p>
        </w:tc>
        <w:tc>
          <w:tcPr>
            <w:tcW w:type="dxa" w:w="1234"/>
          </w:tcPr>
          <w:p>
            <w:r>
              <w:rPr>
                <w:rFonts w:ascii="Calibri" w:hAnsi="Calibri"/>
                <w:sz w:val="22"/>
              </w:rPr>
              <w:t>N/A — not separately guided</w:t>
            </w:r>
          </w:p>
        </w:tc>
        <w:tc>
          <w:tcPr>
            <w:tcW w:type="dxa" w:w="1234"/>
          </w:tcPr>
          <w:p>
            <w:r>
              <w:rPr>
                <w:rFonts w:ascii="Calibri" w:hAnsi="Calibri"/>
                <w:sz w:val="22"/>
              </w:rPr>
              <w:t>N/A</w:t>
            </w:r>
          </w:p>
        </w:tc>
      </w:tr>
      <w:tr>
        <w:tc>
          <w:tcPr>
            <w:tcW w:type="dxa" w:w="1234"/>
          </w:tcPr>
          <w:p>
            <w:r>
              <w:rPr>
                <w:rFonts w:ascii="Calibri" w:hAnsi="Calibri"/>
                <w:sz w:val="22"/>
              </w:rPr>
              <w:t>Effective Renewal Rate — Same Store (%)</w:t>
            </w:r>
          </w:p>
        </w:tc>
        <w:tc>
          <w:tcPr>
            <w:tcW w:type="dxa" w:w="1234"/>
          </w:tcPr>
          <w:p>
            <w:r>
              <w:rPr>
                <w:rFonts w:ascii="Calibri" w:hAnsi="Calibri"/>
                <w:sz w:val="22"/>
              </w:rPr>
              <w:t>+5.4%</w:t>
            </w:r>
          </w:p>
        </w:tc>
        <w:tc>
          <w:tcPr>
            <w:tcW w:type="dxa" w:w="1234"/>
          </w:tcPr>
          <w:p>
            <w:r>
              <w:rPr>
                <w:rFonts w:ascii="Calibri" w:hAnsi="Calibri"/>
                <w:sz w:val="22"/>
              </w:rPr>
              <w:t>+4.7%</w:t>
            </w:r>
          </w:p>
        </w:tc>
        <w:tc>
          <w:tcPr>
            <w:tcW w:type="dxa" w:w="1234"/>
          </w:tcPr>
          <w:p>
            <w:r>
              <w:rPr>
                <w:rFonts w:ascii="Calibri" w:hAnsi="Calibri"/>
                <w:sz w:val="22"/>
              </w:rPr>
              <w:t>+5.3%</w:t>
            </w:r>
          </w:p>
        </w:tc>
        <w:tc>
          <w:tcPr>
            <w:tcW w:type="dxa" w:w="1234"/>
          </w:tcPr>
          <w:p>
            <w:r>
              <w:rPr>
                <w:rFonts w:ascii="Calibri" w:hAnsi="Calibri"/>
                <w:sz w:val="22"/>
              </w:rPr>
              <w:t>+60 bps YoY</w:t>
            </w:r>
          </w:p>
        </w:tc>
        <w:tc>
          <w:tcPr>
            <w:tcW w:type="dxa" w:w="1234"/>
          </w:tcPr>
          <w:p>
            <w:r>
              <w:rPr>
                <w:rFonts w:ascii="Calibri" w:hAnsi="Calibri"/>
                <w:sz w:val="22"/>
              </w:rPr>
              <w:t>5%+ (management commentary)</w:t>
            </w:r>
          </w:p>
        </w:tc>
        <w:tc>
          <w:tcPr>
            <w:tcW w:type="dxa" w:w="1234"/>
          </w:tcPr>
          <w:p>
            <w:r>
              <w:rPr>
                <w:rFonts w:ascii="Calibri" w:hAnsi="Calibri"/>
                <w:sz w:val="22"/>
              </w:rPr>
              <w:t>+30 bps above guidance</w:t>
            </w:r>
          </w:p>
        </w:tc>
      </w:tr>
      <w:tr>
        <w:tc>
          <w:tcPr>
            <w:tcW w:type="dxa" w:w="1234"/>
          </w:tcPr>
          <w:p>
            <w:r>
              <w:rPr>
                <w:rFonts w:ascii="Calibri" w:hAnsi="Calibri"/>
                <w:sz w:val="22"/>
              </w:rPr>
              <w:t>Occupancy Rate — Same Store (%)</w:t>
            </w:r>
          </w:p>
        </w:tc>
        <w:tc>
          <w:tcPr>
            <w:tcW w:type="dxa" w:w="1234"/>
          </w:tcPr>
          <w:p>
            <w:r>
              <w:rPr>
                <w:rFonts w:ascii="Calibri" w:hAnsi="Calibri"/>
                <w:sz w:val="22"/>
              </w:rPr>
              <w:t>95.5%</w:t>
            </w:r>
          </w:p>
        </w:tc>
        <w:tc>
          <w:tcPr>
            <w:tcW w:type="dxa" w:w="1234"/>
          </w:tcPr>
          <w:p>
            <w:r>
              <w:rPr>
                <w:rFonts w:ascii="Calibri" w:hAnsi="Calibri"/>
                <w:sz w:val="22"/>
              </w:rPr>
              <w:t>95.4%</w:t>
            </w:r>
          </w:p>
        </w:tc>
        <w:tc>
          <w:tcPr>
            <w:tcW w:type="dxa" w:w="1234"/>
          </w:tcPr>
          <w:p>
            <w:r>
              <w:rPr>
                <w:rFonts w:ascii="Calibri" w:hAnsi="Calibri"/>
                <w:sz w:val="22"/>
              </w:rPr>
              <w:t>95.3%</w:t>
            </w:r>
          </w:p>
        </w:tc>
        <w:tc>
          <w:tcPr>
            <w:tcW w:type="dxa" w:w="1234"/>
          </w:tcPr>
          <w:p>
            <w:r>
              <w:rPr>
                <w:rFonts w:ascii="Calibri" w:hAnsi="Calibri"/>
                <w:sz w:val="22"/>
              </w:rPr>
              <w:t>+10 bps YoY (est.)</w:t>
            </w:r>
          </w:p>
        </w:tc>
        <w:tc>
          <w:tcPr>
            <w:tcW w:type="dxa" w:w="1234"/>
          </w:tcPr>
          <w:p>
            <w:r>
              <w:rPr>
                <w:rFonts w:ascii="Calibri" w:hAnsi="Calibri"/>
                <w:sz w:val="22"/>
              </w:rPr>
              <w:t>95.35%–95.85% (FY range)</w:t>
            </w:r>
          </w:p>
        </w:tc>
        <w:tc>
          <w:tcPr>
            <w:tcW w:type="dxa" w:w="1234"/>
          </w:tcPr>
          <w:p>
            <w:r>
              <w:rPr>
                <w:rFonts w:ascii="Calibri" w:hAnsi="Calibri"/>
                <w:sz w:val="22"/>
              </w:rPr>
              <w:t>~-10 bps vs. FY midpoint</w:t>
            </w:r>
          </w:p>
        </w:tc>
      </w:tr>
      <w:tr>
        <w:tc>
          <w:tcPr>
            <w:tcW w:type="dxa" w:w="1234"/>
          </w:tcPr>
          <w:p>
            <w:r>
              <w:rPr>
                <w:rFonts w:ascii="Calibri" w:hAnsi="Calibri"/>
                <w:sz w:val="22"/>
              </w:rPr>
              <w:t>Total Operating Revenues ($M)</w:t>
            </w:r>
          </w:p>
        </w:tc>
        <w:tc>
          <w:tcPr>
            <w:tcW w:type="dxa" w:w="1234"/>
          </w:tcPr>
          <w:p>
            <w:r>
              <w:rPr>
                <w:rFonts w:ascii="Calibri" w:hAnsi="Calibri"/>
                <w:sz w:val="22"/>
              </w:rPr>
              <w:t>$553.7M</w:t>
            </w:r>
          </w:p>
        </w:tc>
        <w:tc>
          <w:tcPr>
            <w:tcW w:type="dxa" w:w="1234"/>
          </w:tcPr>
          <w:p>
            <w:r>
              <w:rPr>
                <w:rFonts w:ascii="Calibri" w:hAnsi="Calibri"/>
                <w:sz w:val="22"/>
              </w:rPr>
              <w:t>$549.9M</w:t>
            </w:r>
          </w:p>
        </w:tc>
        <w:tc>
          <w:tcPr>
            <w:tcW w:type="dxa" w:w="1234"/>
          </w:tcPr>
          <w:p>
            <w:r>
              <w:rPr>
                <w:rFonts w:ascii="Calibri" w:hAnsi="Calibri"/>
                <w:sz w:val="22"/>
              </w:rPr>
              <w:t>$556.5M</w:t>
            </w:r>
          </w:p>
        </w:tc>
        <w:tc>
          <w:tcPr>
            <w:tcW w:type="dxa" w:w="1234"/>
          </w:tcPr>
          <w:p>
            <w:r>
              <w:rPr>
                <w:rFonts w:ascii="Calibri" w:hAnsi="Calibri"/>
                <w:sz w:val="22"/>
              </w:rPr>
              <w:t>+1.2% YoY</w:t>
            </w:r>
          </w:p>
        </w:tc>
        <w:tc>
          <w:tcPr>
            <w:tcW w:type="dxa" w:w="1234"/>
          </w:tcPr>
          <w:p>
            <w:r>
              <w:rPr>
                <w:rFonts w:ascii="Calibri" w:hAnsi="Calibri"/>
                <w:sz w:val="22"/>
              </w:rPr>
              <w:t>N/A — not separately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Core FFO Q2 2026 consensus of $2.08 reflects latest VA estimate ($2.075); Q2 2026 same-store revenue consensus ~0.0% and NOI consensus ~-1.5% from VA. Q2 2026 blended lease rate consensus +0.87% from VA. All actuals from VA reported figures.</w:t>
      </w:r>
    </w:p>
    <w:p>
      <w:pPr>
        <w:pStyle w:val="Heading3"/>
      </w:pPr>
      <w:r>
        <w:rPr>
          <w:rFonts w:ascii="Calibri" w:hAnsi="Calibri"/>
          <w:b/>
          <w:color w:val="3B4259"/>
          <w:sz w:val="24"/>
        </w:rPr>
        <w:t>Table 2 — Beat/Miss History (Last 8 Quarters)</w:t>
      </w:r>
    </w:p>
    <w:p>
      <w:r>
        <w:rPr>
          <w:rFonts w:ascii="Calibri" w:hAnsi="Calibri"/>
          <w:b/>
          <w:color w:val="525866"/>
          <w:sz w:val="22"/>
        </w:rPr>
        <w:t>Top 2 KPIs: Core FFO per Share (Diluted) and Effective Blended Lease Rate (Same Store)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Core FFO Reported</w:t>
            </w:r>
          </w:p>
        </w:tc>
        <w:tc>
          <w:tcPr>
            <w:tcW w:type="dxa" w:w="960"/>
            <w:shd w:val="clear" w:color="auto" w:fill="3B4259"/>
          </w:tcPr>
          <w:p>
            <w:r>
              <w:rPr>
                <w:rFonts w:ascii="Calibri" w:hAnsi="Calibri"/>
                <w:b/>
                <w:color w:val="FFFFFF"/>
                <w:sz w:val="22"/>
              </w:rPr>
              <w:t>Core FFO Consensus</w:t>
            </w:r>
          </w:p>
        </w:tc>
        <w:tc>
          <w:tcPr>
            <w:tcW w:type="dxa" w:w="960"/>
            <w:shd w:val="clear" w:color="auto" w:fill="3B4259"/>
          </w:tcPr>
          <w:p>
            <w:r>
              <w:rPr>
                <w:rFonts w:ascii="Calibri" w:hAnsi="Calibri"/>
                <w:b/>
                <w:color w:val="FFFFFF"/>
                <w:sz w:val="22"/>
              </w:rPr>
              <w:t>Core FFO Surprise</w:t>
            </w:r>
          </w:p>
        </w:tc>
        <w:tc>
          <w:tcPr>
            <w:tcW w:type="dxa" w:w="960"/>
            <w:shd w:val="clear" w:color="auto" w:fill="3B4259"/>
          </w:tcPr>
          <w:p>
            <w:r>
              <w:rPr>
                <w:rFonts w:ascii="Calibri" w:hAnsi="Calibri"/>
                <w:b/>
                <w:color w:val="FFFFFF"/>
                <w:sz w:val="22"/>
              </w:rPr>
              <w:t>Result</w:t>
            </w:r>
          </w:p>
        </w:tc>
        <w:tc>
          <w:tcPr>
            <w:tcW w:type="dxa" w:w="960"/>
            <w:shd w:val="clear" w:color="auto" w:fill="3B4259"/>
          </w:tcPr>
          <w:p>
            <w:r>
              <w:rPr>
                <w:rFonts w:ascii="Calibri" w:hAnsi="Calibri"/>
                <w:b/>
                <w:color w:val="FFFFFF"/>
                <w:sz w:val="22"/>
              </w:rPr>
              <w:t>Blended Lease Reported</w:t>
            </w:r>
          </w:p>
        </w:tc>
        <w:tc>
          <w:tcPr>
            <w:tcW w:type="dxa" w:w="960"/>
            <w:shd w:val="clear" w:color="auto" w:fill="3B4259"/>
          </w:tcPr>
          <w:p>
            <w:r>
              <w:rPr>
                <w:rFonts w:ascii="Calibri" w:hAnsi="Calibri"/>
                <w:b/>
                <w:color w:val="FFFFFF"/>
                <w:sz w:val="22"/>
              </w:rPr>
              <w:t>Blended Lease Consensus</w:t>
            </w:r>
          </w:p>
        </w:tc>
        <w:tc>
          <w:tcPr>
            <w:tcW w:type="dxa" w:w="960"/>
            <w:shd w:val="clear" w:color="auto" w:fill="3B4259"/>
          </w:tcPr>
          <w:p>
            <w:r>
              <w:rPr>
                <w:rFonts w:ascii="Calibri" w:hAnsi="Calibri"/>
                <w:b/>
                <w:color w:val="FFFFFF"/>
                <w:sz w:val="22"/>
              </w:rPr>
              <w:t>Blended Lease Surprise</w:t>
            </w:r>
          </w:p>
        </w:tc>
        <w:tc>
          <w:tcPr>
            <w:tcW w:type="dxa" w:w="960"/>
            <w:shd w:val="clear" w:color="auto" w:fill="3B4259"/>
          </w:tcPr>
          <w:p>
            <w:r>
              <w:rPr>
                <w:rFonts w:ascii="Calibri" w:hAnsi="Calibri"/>
                <w:b/>
                <w:color w:val="FFFFFF"/>
                <w:sz w:val="22"/>
              </w:rPr>
              <w:t>Result</w:t>
            </w:r>
          </w:p>
        </w:tc>
      </w:tr>
      <w:tr>
        <w:tc>
          <w:tcPr>
            <w:tcW w:type="dxa" w:w="960"/>
          </w:tcPr>
          <w:p>
            <w:r>
              <w:rPr>
                <w:rFonts w:ascii="Calibri" w:hAnsi="Calibri"/>
                <w:sz w:val="22"/>
              </w:rPr>
              <w:t>Q2 2024</w:t>
            </w:r>
          </w:p>
        </w:tc>
        <w:tc>
          <w:tcPr>
            <w:tcW w:type="dxa" w:w="960"/>
          </w:tcPr>
          <w:p>
            <w:r>
              <w:rPr>
                <w:rFonts w:ascii="Calibri" w:hAnsi="Calibri"/>
                <w:sz w:val="22"/>
              </w:rPr>
              <w:t>$2.22</w:t>
            </w:r>
          </w:p>
        </w:tc>
        <w:tc>
          <w:tcPr>
            <w:tcW w:type="dxa" w:w="960"/>
          </w:tcPr>
          <w:p>
            <w:r>
              <w:rPr>
                <w:rFonts w:ascii="Calibri" w:hAnsi="Calibri"/>
                <w:sz w:val="22"/>
              </w:rPr>
              <w:t>$2.20</w:t>
            </w:r>
          </w:p>
        </w:tc>
        <w:tc>
          <w:tcPr>
            <w:tcW w:type="dxa" w:w="960"/>
          </w:tcPr>
          <w:p>
            <w:r>
              <w:rPr>
                <w:rFonts w:ascii="Calibri" w:hAnsi="Calibri"/>
                <w:sz w:val="22"/>
              </w:rPr>
              <w:t>+0.9%</w:t>
            </w:r>
          </w:p>
        </w:tc>
        <w:tc>
          <w:tcPr>
            <w:tcW w:type="dxa" w:w="960"/>
          </w:tcPr>
          <w:p>
            <w:r>
              <w:rPr>
                <w:rFonts w:ascii="Calibri" w:hAnsi="Calibri"/>
                <w:b/>
                <w:color w:val="30A46C"/>
                <w:sz w:val="22"/>
              </w:rPr>
              <w:t>Beat</w:t>
            </w:r>
          </w:p>
        </w:tc>
        <w:tc>
          <w:tcPr>
            <w:tcW w:type="dxa" w:w="960"/>
          </w:tcPr>
          <w:p>
            <w:r>
              <w:rPr>
                <w:rFonts w:ascii="Calibri" w:hAnsi="Calibri"/>
                <w:sz w:val="22"/>
              </w:rPr>
              <w:t>+0.1%</w:t>
            </w:r>
          </w:p>
        </w:tc>
        <w:tc>
          <w:tcPr>
            <w:tcW w:type="dxa" w:w="960"/>
          </w:tcPr>
          <w:p>
            <w:r>
              <w:rPr>
                <w:rFonts w:ascii="Calibri" w:hAnsi="Calibri"/>
                <w:sz w:val="22"/>
              </w:rPr>
              <w:t>+0.9%</w:t>
            </w:r>
          </w:p>
        </w:tc>
        <w:tc>
          <w:tcPr>
            <w:tcW w:type="dxa" w:w="960"/>
          </w:tcPr>
          <w:p>
            <w:r>
              <w:rPr>
                <w:rFonts w:ascii="Calibri" w:hAnsi="Calibri"/>
                <w:sz w:val="22"/>
              </w:rPr>
              <w:t>-80 bps</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$2.21</w:t>
            </w:r>
          </w:p>
        </w:tc>
        <w:tc>
          <w:tcPr>
            <w:tcW w:type="dxa" w:w="960"/>
          </w:tcPr>
          <w:p>
            <w:r>
              <w:rPr>
                <w:rFonts w:ascii="Calibri" w:hAnsi="Calibri"/>
                <w:sz w:val="22"/>
              </w:rPr>
              <w:t>$2.17</w:t>
            </w:r>
          </w:p>
        </w:tc>
        <w:tc>
          <w:tcPr>
            <w:tcW w:type="dxa" w:w="960"/>
          </w:tcPr>
          <w:p>
            <w:r>
              <w:rPr>
                <w:rFonts w:ascii="Calibri" w:hAnsi="Calibri"/>
                <w:sz w:val="22"/>
              </w:rPr>
              <w:t>+1.8%</w:t>
            </w:r>
          </w:p>
        </w:tc>
        <w:tc>
          <w:tcPr>
            <w:tcW w:type="dxa" w:w="960"/>
          </w:tcPr>
          <w:p>
            <w:r>
              <w:rPr>
                <w:rFonts w:ascii="Calibri" w:hAnsi="Calibri"/>
                <w:b/>
                <w:color w:val="30A46C"/>
                <w:sz w:val="22"/>
              </w:rPr>
              <w:t>Beat</w:t>
            </w:r>
          </w:p>
        </w:tc>
        <w:tc>
          <w:tcPr>
            <w:tcW w:type="dxa" w:w="960"/>
          </w:tcPr>
          <w:p>
            <w:r>
              <w:rPr>
                <w:rFonts w:ascii="Calibri" w:hAnsi="Calibri"/>
                <w:sz w:val="22"/>
              </w:rPr>
              <w:t>-0.2%</w:t>
            </w:r>
          </w:p>
        </w:tc>
        <w:tc>
          <w:tcPr>
            <w:tcW w:type="dxa" w:w="960"/>
          </w:tcPr>
          <w:p>
            <w:r>
              <w:rPr>
                <w:rFonts w:ascii="Calibri" w:hAnsi="Calibri"/>
                <w:sz w:val="22"/>
              </w:rPr>
              <w:t>+0.2%</w:t>
            </w:r>
          </w:p>
        </w:tc>
        <w:tc>
          <w:tcPr>
            <w:tcW w:type="dxa" w:w="960"/>
          </w:tcPr>
          <w:p>
            <w:r>
              <w:rPr>
                <w:rFonts w:ascii="Calibri" w:hAnsi="Calibri"/>
                <w:sz w:val="22"/>
              </w:rPr>
              <w:t>-40 bps</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$2.23</w:t>
            </w:r>
          </w:p>
        </w:tc>
        <w:tc>
          <w:tcPr>
            <w:tcW w:type="dxa" w:w="960"/>
          </w:tcPr>
          <w:p>
            <w:r>
              <w:rPr>
                <w:rFonts w:ascii="Calibri" w:hAnsi="Calibri"/>
                <w:sz w:val="22"/>
              </w:rPr>
              <w:t>$2.24</w:t>
            </w:r>
          </w:p>
        </w:tc>
        <w:tc>
          <w:tcPr>
            <w:tcW w:type="dxa" w:w="960"/>
          </w:tcPr>
          <w:p>
            <w:r>
              <w:rPr>
                <w:rFonts w:ascii="Calibri" w:hAnsi="Calibri"/>
                <w:sz w:val="22"/>
              </w:rPr>
              <w:t>-0.4%</w:t>
            </w:r>
          </w:p>
        </w:tc>
        <w:tc>
          <w:tcPr>
            <w:tcW w:type="dxa" w:w="960"/>
          </w:tcPr>
          <w:p>
            <w:r>
              <w:rPr>
                <w:rFonts w:ascii="Calibri" w:hAnsi="Calibri"/>
                <w:b/>
                <w:color w:val="E5484D"/>
                <w:sz w:val="22"/>
              </w:rPr>
              <w:t>Miss</w:t>
            </w:r>
          </w:p>
        </w:tc>
        <w:tc>
          <w:tcPr>
            <w:tcW w:type="dxa" w:w="960"/>
          </w:tcPr>
          <w:p>
            <w:r>
              <w:rPr>
                <w:rFonts w:ascii="Calibri" w:hAnsi="Calibri"/>
                <w:sz w:val="22"/>
              </w:rPr>
              <w:t>-2.0%</w:t>
            </w:r>
          </w:p>
        </w:tc>
        <w:tc>
          <w:tcPr>
            <w:tcW w:type="dxa" w:w="960"/>
          </w:tcPr>
          <w:p>
            <w:r>
              <w:rPr>
                <w:rFonts w:ascii="Calibri" w:hAnsi="Calibri"/>
                <w:sz w:val="22"/>
              </w:rPr>
              <w:t>-0.3%</w:t>
            </w:r>
          </w:p>
        </w:tc>
        <w:tc>
          <w:tcPr>
            <w:tcW w:type="dxa" w:w="960"/>
          </w:tcPr>
          <w:p>
            <w:r>
              <w:rPr>
                <w:rFonts w:ascii="Calibri" w:hAnsi="Calibri"/>
                <w:sz w:val="22"/>
              </w:rPr>
              <w:t>-170 bps</w:t>
            </w:r>
          </w:p>
        </w:tc>
        <w:tc>
          <w:tcPr>
            <w:tcW w:type="dxa" w:w="960"/>
          </w:tcPr>
          <w:p>
            <w:r>
              <w:rPr>
                <w:rFonts w:ascii="Calibri" w:hAnsi="Calibri"/>
                <w:b/>
                <w:color w:val="E5484D"/>
                <w:sz w:val="22"/>
              </w:rPr>
              <w:t>Miss</w:t>
            </w:r>
          </w:p>
        </w:tc>
      </w:tr>
      <w:tr>
        <w:tc>
          <w:tcPr>
            <w:tcW w:type="dxa" w:w="960"/>
          </w:tcPr>
          <w:p>
            <w:r>
              <w:rPr>
                <w:rFonts w:ascii="Calibri" w:hAnsi="Calibri"/>
                <w:sz w:val="22"/>
              </w:rPr>
              <w:t>Q1 2025</w:t>
            </w:r>
          </w:p>
        </w:tc>
        <w:tc>
          <w:tcPr>
            <w:tcW w:type="dxa" w:w="960"/>
          </w:tcPr>
          <w:p>
            <w:r>
              <w:rPr>
                <w:rFonts w:ascii="Calibri" w:hAnsi="Calibri"/>
                <w:sz w:val="22"/>
              </w:rPr>
              <w:t>$2.20</w:t>
            </w:r>
          </w:p>
        </w:tc>
        <w:tc>
          <w:tcPr>
            <w:tcW w:type="dxa" w:w="960"/>
          </w:tcPr>
          <w:p>
            <w:r>
              <w:rPr>
                <w:rFonts w:ascii="Calibri" w:hAnsi="Calibri"/>
                <w:sz w:val="22"/>
              </w:rPr>
              <w:t>$2.16</w:t>
            </w:r>
          </w:p>
        </w:tc>
        <w:tc>
          <w:tcPr>
            <w:tcW w:type="dxa" w:w="960"/>
          </w:tcPr>
          <w:p>
            <w:r>
              <w:rPr>
                <w:rFonts w:ascii="Calibri" w:hAnsi="Calibri"/>
                <w:sz w:val="22"/>
              </w:rPr>
              <w:t>+1.9%</w:t>
            </w:r>
          </w:p>
        </w:tc>
        <w:tc>
          <w:tcPr>
            <w:tcW w:type="dxa" w:w="960"/>
          </w:tcPr>
          <w:p>
            <w:r>
              <w:rPr>
                <w:rFonts w:ascii="Calibri" w:hAnsi="Calibri"/>
                <w:b/>
                <w:color w:val="30A46C"/>
                <w:sz w:val="22"/>
              </w:rPr>
              <w:t>Beat</w:t>
            </w:r>
          </w:p>
        </w:tc>
        <w:tc>
          <w:tcPr>
            <w:tcW w:type="dxa" w:w="960"/>
          </w:tcPr>
          <w:p>
            <w:r>
              <w:rPr>
                <w:rFonts w:ascii="Calibri" w:hAnsi="Calibri"/>
                <w:sz w:val="22"/>
              </w:rPr>
              <w:t>-0.5%</w:t>
            </w:r>
          </w:p>
        </w:tc>
        <w:tc>
          <w:tcPr>
            <w:tcW w:type="dxa" w:w="960"/>
          </w:tcPr>
          <w:p>
            <w:r>
              <w:rPr>
                <w:rFonts w:ascii="Calibri" w:hAnsi="Calibri"/>
                <w:sz w:val="22"/>
              </w:rPr>
              <w:t>-0.4%</w:t>
            </w:r>
          </w:p>
        </w:tc>
        <w:tc>
          <w:tcPr>
            <w:tcW w:type="dxa" w:w="960"/>
          </w:tcPr>
          <w:p>
            <w:r>
              <w:rPr>
                <w:rFonts w:ascii="Calibri" w:hAnsi="Calibri"/>
                <w:sz w:val="22"/>
              </w:rPr>
              <w:t>-10 bps</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$2.15</w:t>
            </w:r>
          </w:p>
        </w:tc>
        <w:tc>
          <w:tcPr>
            <w:tcW w:type="dxa" w:w="960"/>
          </w:tcPr>
          <w:p>
            <w:r>
              <w:rPr>
                <w:rFonts w:ascii="Calibri" w:hAnsi="Calibri"/>
                <w:sz w:val="22"/>
              </w:rPr>
              <w:t>$2.14</w:t>
            </w:r>
          </w:p>
        </w:tc>
        <w:tc>
          <w:tcPr>
            <w:tcW w:type="dxa" w:w="960"/>
          </w:tcPr>
          <w:p>
            <w:r>
              <w:rPr>
                <w:rFonts w:ascii="Calibri" w:hAnsi="Calibri"/>
                <w:sz w:val="22"/>
              </w:rPr>
              <w:t>+0.5%</w:t>
            </w:r>
          </w:p>
        </w:tc>
        <w:tc>
          <w:tcPr>
            <w:tcW w:type="dxa" w:w="960"/>
          </w:tcPr>
          <w:p>
            <w:r>
              <w:rPr>
                <w:rFonts w:ascii="Calibri" w:hAnsi="Calibri"/>
                <w:b/>
                <w:color w:val="30A46C"/>
                <w:sz w:val="22"/>
              </w:rPr>
              <w:t>Beat</w:t>
            </w:r>
          </w:p>
        </w:tc>
        <w:tc>
          <w:tcPr>
            <w:tcW w:type="dxa" w:w="960"/>
          </w:tcPr>
          <w:p>
            <w:r>
              <w:rPr>
                <w:rFonts w:ascii="Calibri" w:hAnsi="Calibri"/>
                <w:sz w:val="22"/>
              </w:rPr>
              <w:t>+0.5%</w:t>
            </w:r>
          </w:p>
        </w:tc>
        <w:tc>
          <w:tcPr>
            <w:tcW w:type="dxa" w:w="960"/>
          </w:tcPr>
          <w:p>
            <w:r>
              <w:rPr>
                <w:rFonts w:ascii="Calibri" w:hAnsi="Calibri"/>
                <w:sz w:val="22"/>
              </w:rPr>
              <w:t>+1.0%</w:t>
            </w:r>
          </w:p>
        </w:tc>
        <w:tc>
          <w:tcPr>
            <w:tcW w:type="dxa" w:w="960"/>
          </w:tcPr>
          <w:p>
            <w:r>
              <w:rPr>
                <w:rFonts w:ascii="Calibri" w:hAnsi="Calibri"/>
                <w:sz w:val="22"/>
              </w:rPr>
              <w:t>-50 bps</w:t>
            </w:r>
          </w:p>
        </w:tc>
        <w:tc>
          <w:tcPr>
            <w:tcW w:type="dxa" w:w="960"/>
          </w:tcPr>
          <w:p>
            <w:r>
              <w:rPr>
                <w:rFonts w:ascii="Calibri" w:hAnsi="Calibri"/>
                <w:b/>
                <w:color w:val="E5484D"/>
                <w:sz w:val="22"/>
              </w:rPr>
              <w:t>Miss</w:t>
            </w:r>
          </w:p>
        </w:tc>
      </w:tr>
      <w:tr>
        <w:tc>
          <w:tcPr>
            <w:tcW w:type="dxa" w:w="960"/>
          </w:tcPr>
          <w:p>
            <w:r>
              <w:rPr>
                <w:rFonts w:ascii="Calibri" w:hAnsi="Calibri"/>
                <w:sz w:val="22"/>
              </w:rPr>
              <w:t>Q3 2025</w:t>
            </w:r>
          </w:p>
        </w:tc>
        <w:tc>
          <w:tcPr>
            <w:tcW w:type="dxa" w:w="960"/>
          </w:tcPr>
          <w:p>
            <w:r>
              <w:rPr>
                <w:rFonts w:ascii="Calibri" w:hAnsi="Calibri"/>
                <w:sz w:val="22"/>
              </w:rPr>
              <w:t>$2.16</w:t>
            </w:r>
          </w:p>
        </w:tc>
        <w:tc>
          <w:tcPr>
            <w:tcW w:type="dxa" w:w="960"/>
          </w:tcPr>
          <w:p>
            <w:r>
              <w:rPr>
                <w:rFonts w:ascii="Calibri" w:hAnsi="Calibri"/>
                <w:sz w:val="22"/>
              </w:rPr>
              <w:t>$2.17</w:t>
            </w:r>
          </w:p>
        </w:tc>
        <w:tc>
          <w:tcPr>
            <w:tcW w:type="dxa" w:w="960"/>
          </w:tcPr>
          <w:p>
            <w:r>
              <w:rPr>
                <w:rFonts w:ascii="Calibri" w:hAnsi="Calibri"/>
                <w:sz w:val="22"/>
              </w:rPr>
              <w:t>-0.5%</w:t>
            </w:r>
          </w:p>
        </w:tc>
        <w:tc>
          <w:tcPr>
            <w:tcW w:type="dxa" w:w="960"/>
          </w:tcPr>
          <w:p>
            <w:r>
              <w:rPr>
                <w:rFonts w:ascii="Calibri" w:hAnsi="Calibri"/>
                <w:b/>
                <w:color w:val="E5484D"/>
                <w:sz w:val="22"/>
              </w:rPr>
              <w:t>Miss</w:t>
            </w:r>
          </w:p>
        </w:tc>
        <w:tc>
          <w:tcPr>
            <w:tcW w:type="dxa" w:w="960"/>
          </w:tcPr>
          <w:p>
            <w:r>
              <w:rPr>
                <w:rFonts w:ascii="Calibri" w:hAnsi="Calibri"/>
                <w:sz w:val="22"/>
              </w:rPr>
              <w:t>+0.3%</w:t>
            </w:r>
          </w:p>
        </w:tc>
        <w:tc>
          <w:tcPr>
            <w:tcW w:type="dxa" w:w="960"/>
          </w:tcPr>
          <w:p>
            <w:r>
              <w:rPr>
                <w:rFonts w:ascii="Calibri" w:hAnsi="Calibri"/>
                <w:sz w:val="22"/>
              </w:rPr>
              <w:t>+0.8%</w:t>
            </w:r>
          </w:p>
        </w:tc>
        <w:tc>
          <w:tcPr>
            <w:tcW w:type="dxa" w:w="960"/>
          </w:tcPr>
          <w:p>
            <w:r>
              <w:rPr>
                <w:rFonts w:ascii="Calibri" w:hAnsi="Calibri"/>
                <w:sz w:val="22"/>
              </w:rPr>
              <w:t>-50 bps</w:t>
            </w:r>
          </w:p>
        </w:tc>
        <w:tc>
          <w:tcPr>
            <w:tcW w:type="dxa" w:w="960"/>
          </w:tcPr>
          <w:p>
            <w:r>
              <w:rPr>
                <w:rFonts w:ascii="Calibri" w:hAnsi="Calibri"/>
                <w:b/>
                <w:color w:val="E5484D"/>
                <w:sz w:val="22"/>
              </w:rPr>
              <w:t>Miss</w:t>
            </w:r>
          </w:p>
        </w:tc>
      </w:tr>
      <w:tr>
        <w:tc>
          <w:tcPr>
            <w:tcW w:type="dxa" w:w="960"/>
          </w:tcPr>
          <w:p>
            <w:r>
              <w:rPr>
                <w:rFonts w:ascii="Calibri" w:hAnsi="Calibri"/>
                <w:sz w:val="22"/>
              </w:rPr>
              <w:t>Q4 2025</w:t>
            </w:r>
          </w:p>
        </w:tc>
        <w:tc>
          <w:tcPr>
            <w:tcW w:type="dxa" w:w="960"/>
          </w:tcPr>
          <w:p>
            <w:r>
              <w:rPr>
                <w:rFonts w:ascii="Calibri" w:hAnsi="Calibri"/>
                <w:sz w:val="22"/>
              </w:rPr>
              <w:t>$2.23</w:t>
            </w:r>
          </w:p>
        </w:tc>
        <w:tc>
          <w:tcPr>
            <w:tcW w:type="dxa" w:w="960"/>
          </w:tcPr>
          <w:p>
            <w:r>
              <w:rPr>
                <w:rFonts w:ascii="Calibri" w:hAnsi="Calibri"/>
                <w:sz w:val="22"/>
              </w:rPr>
              <w:t>$2.22</w:t>
            </w:r>
          </w:p>
        </w:tc>
        <w:tc>
          <w:tcPr>
            <w:tcW w:type="dxa" w:w="960"/>
          </w:tcPr>
          <w:p>
            <w:r>
              <w:rPr>
                <w:rFonts w:ascii="Calibri" w:hAnsi="Calibri"/>
                <w:sz w:val="22"/>
              </w:rPr>
              <w:t>+0.4%</w:t>
            </w:r>
          </w:p>
        </w:tc>
        <w:tc>
          <w:tcPr>
            <w:tcW w:type="dxa" w:w="960"/>
          </w:tcPr>
          <w:p>
            <w:r>
              <w:rPr>
                <w:rFonts w:ascii="Calibri" w:hAnsi="Calibri"/>
                <w:b/>
                <w:color w:val="30A46C"/>
                <w:sz w:val="22"/>
              </w:rPr>
              <w:t>Beat</w:t>
            </w:r>
          </w:p>
        </w:tc>
        <w:tc>
          <w:tcPr>
            <w:tcW w:type="dxa" w:w="960"/>
          </w:tcPr>
          <w:p>
            <w:r>
              <w:rPr>
                <w:rFonts w:ascii="Calibri" w:hAnsi="Calibri"/>
                <w:sz w:val="22"/>
              </w:rPr>
              <w:t>-1.7%</w:t>
            </w:r>
          </w:p>
        </w:tc>
        <w:tc>
          <w:tcPr>
            <w:tcW w:type="dxa" w:w="960"/>
          </w:tcPr>
          <w:p>
            <w:r>
              <w:rPr>
                <w:rFonts w:ascii="Calibri" w:hAnsi="Calibri"/>
                <w:sz w:val="22"/>
              </w:rPr>
              <w:t>-0.6%</w:t>
            </w:r>
          </w:p>
        </w:tc>
        <w:tc>
          <w:tcPr>
            <w:tcW w:type="dxa" w:w="960"/>
          </w:tcPr>
          <w:p>
            <w:r>
              <w:rPr>
                <w:rFonts w:ascii="Calibri" w:hAnsi="Calibri"/>
                <w:sz w:val="22"/>
              </w:rPr>
              <w:t>-110 bps</w:t>
            </w:r>
          </w:p>
        </w:tc>
        <w:tc>
          <w:tcPr>
            <w:tcW w:type="dxa" w:w="960"/>
          </w:tcPr>
          <w:p>
            <w:r>
              <w:rPr>
                <w:rFonts w:ascii="Calibri" w:hAnsi="Calibri"/>
                <w:b/>
                <w:color w:val="E5484D"/>
                <w:sz w:val="22"/>
              </w:rPr>
              <w:t>Miss</w:t>
            </w:r>
          </w:p>
        </w:tc>
      </w:tr>
      <w:tr>
        <w:tc>
          <w:tcPr>
            <w:tcW w:type="dxa" w:w="960"/>
          </w:tcPr>
          <w:p>
            <w:r>
              <w:rPr>
                <w:rFonts w:ascii="Calibri" w:hAnsi="Calibri"/>
                <w:sz w:val="22"/>
              </w:rPr>
              <w:t>Q1 2026</w:t>
            </w:r>
          </w:p>
        </w:tc>
        <w:tc>
          <w:tcPr>
            <w:tcW w:type="dxa" w:w="960"/>
          </w:tcPr>
          <w:p>
            <w:r>
              <w:rPr>
                <w:rFonts w:ascii="Calibri" w:hAnsi="Calibri"/>
                <w:sz w:val="22"/>
              </w:rPr>
              <w:t>$2.13</w:t>
            </w:r>
          </w:p>
        </w:tc>
        <w:tc>
          <w:tcPr>
            <w:tcW w:type="dxa" w:w="960"/>
          </w:tcPr>
          <w:p>
            <w:r>
              <w:rPr>
                <w:rFonts w:ascii="Calibri" w:hAnsi="Calibri"/>
                <w:sz w:val="22"/>
              </w:rPr>
              <w:t>$2.12</w:t>
            </w:r>
          </w:p>
        </w:tc>
        <w:tc>
          <w:tcPr>
            <w:tcW w:type="dxa" w:w="960"/>
          </w:tcPr>
          <w:p>
            <w:r>
              <w:rPr>
                <w:rFonts w:ascii="Calibri" w:hAnsi="Calibri"/>
                <w:sz w:val="22"/>
              </w:rPr>
              <w:t>+0.5%</w:t>
            </w:r>
          </w:p>
        </w:tc>
        <w:tc>
          <w:tcPr>
            <w:tcW w:type="dxa" w:w="960"/>
          </w:tcPr>
          <w:p>
            <w:r>
              <w:rPr>
                <w:rFonts w:ascii="Calibri" w:hAnsi="Calibri"/>
                <w:b/>
                <w:color w:val="30A46C"/>
                <w:sz w:val="22"/>
              </w:rPr>
              <w:t>Beat</w:t>
            </w:r>
          </w:p>
        </w:tc>
        <w:tc>
          <w:tcPr>
            <w:tcW w:type="dxa" w:w="960"/>
          </w:tcPr>
          <w:p>
            <w:r>
              <w:rPr>
                <w:rFonts w:ascii="Calibri" w:hAnsi="Calibri"/>
                <w:sz w:val="22"/>
              </w:rPr>
              <w:t>-0.3%</w:t>
            </w:r>
          </w:p>
        </w:tc>
        <w:tc>
          <w:tcPr>
            <w:tcW w:type="dxa" w:w="960"/>
          </w:tcPr>
          <w:p>
            <w:r>
              <w:rPr>
                <w:rFonts w:ascii="Calibri" w:hAnsi="Calibri"/>
                <w:sz w:val="22"/>
              </w:rPr>
              <w:t>+0.1%</w:t>
            </w:r>
          </w:p>
        </w:tc>
        <w:tc>
          <w:tcPr>
            <w:tcW w:type="dxa" w:w="960"/>
          </w:tcPr>
          <w:p>
            <w:r>
              <w:rPr>
                <w:rFonts w:ascii="Calibri" w:hAnsi="Calibri"/>
                <w:sz w:val="22"/>
              </w:rPr>
              <w:t>-40 bps</w:t>
            </w:r>
          </w:p>
        </w:tc>
        <w:tc>
          <w:tcPr>
            <w:tcW w:type="dxa" w:w="96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MAA has beaten Core FFO consensus in 5 of the last 8 quarters, typically by a small margin driven by expense discipline; however, blended lease rates have consistently come in below consensus in all 8 quarters, reflecting the market's persistent over-optimism on new lease rate recovery — making the Q2 2026 blended rate print the key risk/opportunity variable.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reaffirmed the FY 2026 Core FFO guidance midpoint at Q1 earnings (April 29) and tightened the range, signaling reduced macro uncertainty; the June Nareit conference added a meaningfully more bullish tone on new lease rate momentum, representing the most significant positive tone shift since the last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 per Share</w:t>
            </w:r>
          </w:p>
        </w:tc>
        <w:tc>
          <w:tcPr>
            <w:tcW w:type="dxa" w:w="1728"/>
          </w:tcPr>
          <w:p>
            <w:r>
              <w:rPr>
                <w:rFonts w:ascii="Calibri" w:hAnsi="Calibri"/>
                <w:sz w:val="22"/>
              </w:rPr>
              <w:t>$2.00–$2.12 (midpoint $2.06)</w:t>
            </w:r>
          </w:p>
        </w:tc>
        <w:tc>
          <w:tcPr>
            <w:tcW w:type="dxa" w:w="1728"/>
          </w:tcPr>
          <w:p>
            <w:r>
              <w:rPr>
                <w:rFonts w:ascii="Calibri" w:hAnsi="Calibri"/>
                <w:sz w:val="22"/>
              </w:rPr>
              <w:t>—</w:t>
            </w:r>
          </w:p>
        </w:tc>
        <w:tc>
          <w:tcPr>
            <w:tcW w:type="dxa" w:w="1728"/>
          </w:tcPr>
          <w:p>
            <w:r>
              <w:rPr>
                <w:rFonts w:ascii="Calibri" w:hAnsi="Calibri"/>
                <w:sz w:val="22"/>
              </w:rPr>
              <w:t>$2.08</w:t>
            </w:r>
          </w:p>
        </w:tc>
        <w:tc>
          <w:tcPr>
            <w:tcW w:type="dxa" w:w="1728"/>
          </w:tcPr>
          <w:p>
            <w:r>
              <w:rPr>
                <w:rFonts w:ascii="Calibri" w:hAnsi="Calibri"/>
                <w:sz w:val="22"/>
              </w:rPr>
              <w:t>Unchanged; consensus sits $0.02 above midpoint</w:t>
            </w:r>
          </w:p>
        </w:tc>
      </w:tr>
      <w:tr>
        <w:tc>
          <w:tcPr>
            <w:tcW w:type="dxa" w:w="1728"/>
          </w:tcPr>
          <w:p>
            <w:r>
              <w:rPr>
                <w:rFonts w:ascii="Calibri" w:hAnsi="Calibri"/>
                <w:sz w:val="22"/>
              </w:rPr>
              <w:t>FY 2026 Core FFO per Share</w:t>
            </w:r>
          </w:p>
        </w:tc>
        <w:tc>
          <w:tcPr>
            <w:tcW w:type="dxa" w:w="1728"/>
          </w:tcPr>
          <w:p>
            <w:r>
              <w:rPr>
                <w:rFonts w:ascii="Calibri" w:hAnsi="Calibri"/>
                <w:sz w:val="22"/>
              </w:rPr>
              <w:t>$8.37–$8.69 (midpoint $8.53); range tightened from wider initial range</w:t>
            </w:r>
          </w:p>
        </w:tc>
        <w:tc>
          <w:tcPr>
            <w:tcW w:type="dxa" w:w="1728"/>
          </w:tcPr>
          <w:p>
            <w:r>
              <w:rPr>
                <w:rFonts w:ascii="Calibri" w:hAnsi="Calibri"/>
                <w:sz w:val="22"/>
              </w:rPr>
              <w:t>—</w:t>
            </w:r>
          </w:p>
        </w:tc>
        <w:tc>
          <w:tcPr>
            <w:tcW w:type="dxa" w:w="1728"/>
          </w:tcPr>
          <w:p>
            <w:r>
              <w:rPr>
                <w:rFonts w:ascii="Calibri" w:hAnsi="Calibri"/>
                <w:sz w:val="22"/>
              </w:rPr>
              <w:t>$8.50</w:t>
            </w:r>
          </w:p>
        </w:tc>
        <w:tc>
          <w:tcPr>
            <w:tcW w:type="dxa" w:w="1728"/>
          </w:tcPr>
          <w:p>
            <w:r>
              <w:rPr>
                <w:rFonts w:ascii="Calibri" w:hAnsi="Calibri"/>
                <w:sz w:val="22"/>
              </w:rPr>
              <w:t>Midpoint reaffirmed; range tightened at Q1 print due to reduced macro uncertainty</w:t>
            </w:r>
          </w:p>
        </w:tc>
      </w:tr>
      <w:tr>
        <w:tc>
          <w:tcPr>
            <w:tcW w:type="dxa" w:w="1728"/>
          </w:tcPr>
          <w:p>
            <w:r>
              <w:rPr>
                <w:rFonts w:ascii="Calibri" w:hAnsi="Calibri"/>
                <w:sz w:val="22"/>
              </w:rPr>
              <w:t>FY 2026 Same-Store Revenue Growth</w:t>
            </w:r>
          </w:p>
        </w:tc>
        <w:tc>
          <w:tcPr>
            <w:tcW w:type="dxa" w:w="1728"/>
          </w:tcPr>
          <w:p>
            <w:r>
              <w:rPr>
                <w:rFonts w:ascii="Calibri" w:hAnsi="Calibri"/>
                <w:sz w:val="22"/>
              </w:rPr>
              <w:t>-0.20% to +1.30% (midpoint +0.55%)</w:t>
            </w:r>
          </w:p>
        </w:tc>
        <w:tc>
          <w:tcPr>
            <w:tcW w:type="dxa" w:w="1728"/>
          </w:tcPr>
          <w:p>
            <w:r>
              <w:rPr>
                <w:rFonts w:ascii="Calibri" w:hAnsi="Calibri"/>
                <w:sz w:val="22"/>
              </w:rPr>
              <w:t>—</w:t>
            </w:r>
          </w:p>
        </w:tc>
        <w:tc>
          <w:tcPr>
            <w:tcW w:type="dxa" w:w="1728"/>
          </w:tcPr>
          <w:p>
            <w:r>
              <w:rPr>
                <w:rFonts w:ascii="Calibri" w:hAnsi="Calibri"/>
                <w:sz w:val="22"/>
              </w:rPr>
              <w:t>+0.23%</w:t>
            </w:r>
          </w:p>
        </w:tc>
        <w:tc>
          <w:tcPr>
            <w:tcW w:type="dxa" w:w="1728"/>
          </w:tcPr>
          <w:p>
            <w:r>
              <w:rPr>
                <w:rFonts w:ascii="Calibri" w:hAnsi="Calibri"/>
                <w:sz w:val="22"/>
              </w:rPr>
              <w:t>Consensus below midpoint; upside if Q2 leasing data surprises positively</w:t>
            </w:r>
          </w:p>
        </w:tc>
      </w:tr>
      <w:tr>
        <w:tc>
          <w:tcPr>
            <w:tcW w:type="dxa" w:w="1728"/>
          </w:tcPr>
          <w:p>
            <w:r>
              <w:rPr>
                <w:rFonts w:ascii="Calibri" w:hAnsi="Calibri"/>
                <w:sz w:val="22"/>
              </w:rPr>
              <w:t>FY 2026 Same-Store NOI Growth</w:t>
            </w:r>
          </w:p>
        </w:tc>
        <w:tc>
          <w:tcPr>
            <w:tcW w:type="dxa" w:w="1728"/>
          </w:tcPr>
          <w:p>
            <w:r>
              <w:rPr>
                <w:rFonts w:ascii="Calibri" w:hAnsi="Calibri"/>
                <w:sz w:val="22"/>
              </w:rPr>
              <w:t>-1.70% to +0.30% (midpoint -0.70%)</w:t>
            </w:r>
          </w:p>
        </w:tc>
        <w:tc>
          <w:tcPr>
            <w:tcW w:type="dxa" w:w="1728"/>
          </w:tcPr>
          <w:p>
            <w:r>
              <w:rPr>
                <w:rFonts w:ascii="Calibri" w:hAnsi="Calibri"/>
                <w:sz w:val="22"/>
              </w:rPr>
              <w:t>—</w:t>
            </w:r>
          </w:p>
        </w:tc>
        <w:tc>
          <w:tcPr>
            <w:tcW w:type="dxa" w:w="1728"/>
          </w:tcPr>
          <w:p>
            <w:r>
              <w:rPr>
                <w:rFonts w:ascii="Calibri" w:hAnsi="Calibri"/>
                <w:sz w:val="22"/>
              </w:rPr>
              <w:t>-1.08%</w:t>
            </w:r>
          </w:p>
        </w:tc>
        <w:tc>
          <w:tcPr>
            <w:tcW w:type="dxa" w:w="1728"/>
          </w:tcPr>
          <w:p>
            <w:r>
              <w:rPr>
                <w:rFonts w:ascii="Calibri" w:hAnsi="Calibri"/>
                <w:sz w:val="22"/>
              </w:rPr>
              <w:t>Consensus below midpoint; expense discipline could close gap</w:t>
            </w:r>
          </w:p>
        </w:tc>
      </w:tr>
      <w:tr>
        <w:tc>
          <w:tcPr>
            <w:tcW w:type="dxa" w:w="1728"/>
          </w:tcPr>
          <w:p>
            <w:r>
              <w:rPr>
                <w:rFonts w:ascii="Calibri" w:hAnsi="Calibri"/>
                <w:sz w:val="22"/>
              </w:rPr>
              <w:t>FY 2026 Blended Lease Rate Growth</w:t>
            </w:r>
          </w:p>
        </w:tc>
        <w:tc>
          <w:tcPr>
            <w:tcW w:type="dxa" w:w="1728"/>
          </w:tcPr>
          <w:p>
            <w:r>
              <w:rPr>
                <w:rFonts w:ascii="Calibri" w:hAnsi="Calibri"/>
                <w:sz w:val="22"/>
              </w:rPr>
              <w:t>1.0%–1.5% (full year)</w:t>
            </w:r>
          </w:p>
        </w:tc>
        <w:tc>
          <w:tcPr>
            <w:tcW w:type="dxa" w:w="1728"/>
          </w:tcPr>
          <w:p>
            <w:r>
              <w:rPr>
                <w:rFonts w:ascii="Calibri" w:hAnsi="Calibri"/>
                <w:sz w:val="22"/>
              </w:rPr>
              <w:t>—</w:t>
            </w:r>
          </w:p>
        </w:tc>
        <w:tc>
          <w:tcPr>
            <w:tcW w:type="dxa" w:w="1728"/>
          </w:tcPr>
          <w:p>
            <w:r>
              <w:rPr>
                <w:rFonts w:ascii="Calibri" w:hAnsi="Calibri"/>
                <w:sz w:val="22"/>
              </w:rPr>
              <w:t>+0.70%</w:t>
            </w:r>
          </w:p>
        </w:tc>
        <w:tc>
          <w:tcPr>
            <w:tcW w:type="dxa" w:w="1728"/>
          </w:tcPr>
          <w:p>
            <w:r>
              <w:rPr>
                <w:rFonts w:ascii="Calibri" w:hAnsi="Calibri"/>
                <w:sz w:val="22"/>
              </w:rPr>
              <w:t>Consensus well below guidance range; June Nareit data (May blended at 2-yr high) suggests guidance achievable</w:t>
            </w:r>
          </w:p>
        </w:tc>
      </w:tr>
      <w:tr>
        <w:tc>
          <w:tcPr>
            <w:tcW w:type="dxa" w:w="1728"/>
          </w:tcPr>
          <w:p>
            <w:r>
              <w:rPr>
                <w:rFonts w:ascii="Calibri" w:hAnsi="Calibri"/>
                <w:sz w:val="22"/>
              </w:rPr>
              <w:t>FY 2026 Avg. Physical Occupancy</w:t>
            </w:r>
          </w:p>
        </w:tc>
        <w:tc>
          <w:tcPr>
            <w:tcW w:type="dxa" w:w="1728"/>
          </w:tcPr>
          <w:p>
            <w:r>
              <w:rPr>
                <w:rFonts w:ascii="Calibri" w:hAnsi="Calibri"/>
                <w:sz w:val="22"/>
              </w:rPr>
              <w:t>95.35%–95.85% (midpoint 95.60%)</w:t>
            </w:r>
          </w:p>
        </w:tc>
        <w:tc>
          <w:tcPr>
            <w:tcW w:type="dxa" w:w="1728"/>
          </w:tcPr>
          <w:p>
            <w:r>
              <w:rPr>
                <w:rFonts w:ascii="Calibri" w:hAnsi="Calibri"/>
                <w:sz w:val="22"/>
              </w:rPr>
              <w:t>—</w:t>
            </w:r>
          </w:p>
        </w:tc>
        <w:tc>
          <w:tcPr>
            <w:tcW w:type="dxa" w:w="1728"/>
          </w:tcPr>
          <w:p>
            <w:r>
              <w:rPr>
                <w:rFonts w:ascii="Calibri" w:hAnsi="Calibri"/>
                <w:sz w:val="22"/>
              </w:rPr>
              <w:t>95.39%</w:t>
            </w:r>
          </w:p>
        </w:tc>
        <w:tc>
          <w:tcPr>
            <w:tcW w:type="dxa" w:w="1728"/>
          </w:tcPr>
          <w:p>
            <w:r>
              <w:rPr>
                <w:rFonts w:ascii="Calibri" w:hAnsi="Calibri"/>
                <w:sz w:val="22"/>
              </w:rPr>
              <w:t>Consensus slightly below midpoint; April occupancy of 95.5% in line with prior year</w:t>
            </w:r>
          </w:p>
        </w:tc>
      </w:tr>
      <w:tr>
        <w:tc>
          <w:tcPr>
            <w:tcW w:type="dxa" w:w="1728"/>
          </w:tcPr>
          <w:p>
            <w:r>
              <w:rPr>
                <w:rFonts w:ascii="Calibri" w:hAnsi="Calibri"/>
                <w:sz w:val="22"/>
              </w:rPr>
              <w:t>FY 2026 Same-Store Expense Growth</w:t>
            </w:r>
          </w:p>
        </w:tc>
        <w:tc>
          <w:tcPr>
            <w:tcW w:type="dxa" w:w="1728"/>
          </w:tcPr>
          <w:p>
            <w:r>
              <w:rPr>
                <w:rFonts w:ascii="Calibri" w:hAnsi="Calibri"/>
                <w:sz w:val="22"/>
              </w:rPr>
              <w:t>1.90%–3.40% (midpoint 2.65%)</w:t>
            </w:r>
          </w:p>
        </w:tc>
        <w:tc>
          <w:tcPr>
            <w:tcW w:type="dxa" w:w="1728"/>
          </w:tcPr>
          <w:p>
            <w:r>
              <w:rPr>
                <w:rFonts w:ascii="Calibri" w:hAnsi="Calibri"/>
                <w:sz w:val="22"/>
              </w:rPr>
              <w:t>—</w:t>
            </w:r>
          </w:p>
        </w:tc>
        <w:tc>
          <w:tcPr>
            <w:tcW w:type="dxa" w:w="1728"/>
          </w:tcPr>
          <w:p>
            <w:r>
              <w:rPr>
                <w:rFonts w:ascii="Calibri" w:hAnsi="Calibri"/>
                <w:sz w:val="22"/>
              </w:rPr>
              <w:t>2.35%</w:t>
            </w:r>
          </w:p>
        </w:tc>
        <w:tc>
          <w:tcPr>
            <w:tcW w:type="dxa" w:w="1728"/>
          </w:tcPr>
          <w:p>
            <w:r>
              <w:rPr>
                <w:rFonts w:ascii="Calibri" w:hAnsi="Calibri"/>
                <w:sz w:val="22"/>
              </w:rPr>
              <w:t>Consensus below midpoint; Q1 expense beat suggests continued discipline</w:t>
            </w:r>
          </w:p>
        </w:tc>
      </w:tr>
      <w:tr>
        <w:tc>
          <w:tcPr>
            <w:tcW w:type="dxa" w:w="1728"/>
          </w:tcPr>
          <w:p>
            <w:r>
              <w:rPr>
                <w:rFonts w:ascii="Calibri" w:hAnsi="Calibri"/>
                <w:sz w:val="22"/>
              </w:rPr>
              <w:t>Tone / Forward Commentary</w:t>
            </w:r>
          </w:p>
        </w:tc>
        <w:tc>
          <w:tcPr>
            <w:tcW w:type="dxa" w:w="1728"/>
          </w:tcPr>
          <w:p>
            <w:r>
              <w:rPr>
                <w:rFonts w:ascii="Calibri" w:hAnsi="Calibri"/>
                <w:sz w:val="22"/>
              </w:rPr>
              <w:t>Optimistic on spring/summer momentum; new lease acceleration expected through ~July; less seasonal moderation in H2 vs. typical</w:t>
            </w:r>
          </w:p>
        </w:tc>
        <w:tc>
          <w:tcPr>
            <w:tcW w:type="dxa" w:w="1728"/>
          </w:tcPr>
          <w:p>
            <w:r>
              <w:rPr>
                <w:rFonts w:ascii="Calibri" w:hAnsi="Calibri"/>
                <w:sz w:val="22"/>
              </w:rPr>
              <w:t>↑ More bullish at June Nareit (June 2026)</w:t>
            </w:r>
          </w:p>
        </w:tc>
        <w:tc>
          <w:tcPr>
            <w:tcW w:type="dxa" w:w="1728"/>
          </w:tcPr>
          <w:p>
            <w:r>
              <w:rPr>
                <w:rFonts w:ascii="Calibri" w:hAnsi="Calibri"/>
                <w:sz w:val="22"/>
              </w:rPr>
              <w:t>—</w:t>
            </w:r>
          </w:p>
        </w:tc>
        <w:tc>
          <w:tcPr>
            <w:tcW w:type="dxa" w:w="1728"/>
          </w:tcPr>
          <w:p>
            <w:r>
              <w:rPr>
                <w:rFonts w:ascii="Calibri" w:hAnsi="Calibri"/>
                <w:sz w:val="22"/>
              </w:rPr>
              <w:t>↑ Raised at Nareit REITweek June 2026: May blended rates at highest level in ~2 years; new lease rates up sharply; rent traction continuing unlike mid-May 2025 stall; market occupancies back to pre-supply-impact averages; concessions beginning to decline in select markets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 2026 Core FFO estimates have been essentially flat since the Q1 print (+0.3%), while same-store revenue and NOI consensus remain below guidance midpoints — suggesting the market has not yet fully credited management's improving leasing narrative, leaving room for upward revisions if Q2 data confirms the Nareit read-through.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 Q2 2026</w:t>
            </w:r>
          </w:p>
        </w:tc>
        <w:tc>
          <w:tcPr>
            <w:tcW w:type="dxa" w:w="1080"/>
          </w:tcPr>
          <w:p>
            <w:r>
              <w:rPr>
                <w:rFonts w:ascii="Calibri" w:hAnsi="Calibri"/>
                <w:sz w:val="22"/>
              </w:rPr>
              <w:t>$2.079</w:t>
            </w:r>
          </w:p>
        </w:tc>
        <w:tc>
          <w:tcPr>
            <w:tcW w:type="dxa" w:w="1080"/>
          </w:tcPr>
          <w:p>
            <w:r>
              <w:rPr>
                <w:rFonts w:ascii="Calibri" w:hAnsi="Calibri"/>
                <w:sz w:val="22"/>
              </w:rPr>
              <w:t>$2.075</w:t>
            </w:r>
          </w:p>
        </w:tc>
        <w:tc>
          <w:tcPr>
            <w:tcW w:type="dxa" w:w="1080"/>
          </w:tcPr>
          <w:p>
            <w:r>
              <w:rPr>
                <w:rFonts w:ascii="Calibri" w:hAnsi="Calibri"/>
                <w:sz w:val="22"/>
              </w:rPr>
              <w:t>-0.2%</w:t>
            </w:r>
          </w:p>
        </w:tc>
        <w:tc>
          <w:tcPr>
            <w:tcW w:type="dxa" w:w="1080"/>
          </w:tcPr>
          <w:p>
            <w:r>
              <w:rPr>
                <w:rFonts w:ascii="Calibri" w:hAnsi="Calibri"/>
                <w:sz w:val="22"/>
              </w:rPr>
              <w:t>$2.06 midpoint</w:t>
            </w:r>
          </w:p>
        </w:tc>
        <w:tc>
          <w:tcPr>
            <w:tcW w:type="dxa" w:w="1080"/>
          </w:tcPr>
          <w:p>
            <w:r>
              <w:rPr>
                <w:rFonts w:ascii="Calibri" w:hAnsi="Calibri"/>
                <w:sz w:val="22"/>
              </w:rPr>
              <w:t>$2.06 midpoint (unchanged)</w:t>
            </w:r>
          </w:p>
        </w:tc>
        <w:tc>
          <w:tcPr>
            <w:tcW w:type="dxa" w:w="1080"/>
          </w:tcPr>
          <w:p>
            <w:r>
              <w:rPr>
                <w:rFonts w:ascii="Calibri" w:hAnsi="Calibri"/>
                <w:sz w:val="22"/>
              </w:rPr>
              <w:t>Flat</w:t>
            </w:r>
          </w:p>
        </w:tc>
        <w:tc>
          <w:tcPr>
            <w:tcW w:type="dxa" w:w="1080"/>
          </w:tcPr>
          <w:p>
            <w:r>
              <w:rPr>
                <w:rFonts w:ascii="Calibri" w:hAnsi="Calibri"/>
                <w:sz w:val="22"/>
              </w:rPr>
              <w:t>+0.7% above midpoint</w:t>
            </w:r>
          </w:p>
        </w:tc>
      </w:tr>
      <w:tr>
        <w:tc>
          <w:tcPr>
            <w:tcW w:type="dxa" w:w="1080"/>
          </w:tcPr>
          <w:p>
            <w:r>
              <w:rPr>
                <w:rFonts w:ascii="Calibri" w:hAnsi="Calibri"/>
                <w:sz w:val="22"/>
              </w:rPr>
              <w:t>Core FFO/Share — FY 2026</w:t>
            </w:r>
          </w:p>
        </w:tc>
        <w:tc>
          <w:tcPr>
            <w:tcW w:type="dxa" w:w="1080"/>
          </w:tcPr>
          <w:p>
            <w:r>
              <w:rPr>
                <w:rFonts w:ascii="Calibri" w:hAnsi="Calibri"/>
                <w:sz w:val="22"/>
              </w:rPr>
              <w:t>$8.475</w:t>
            </w:r>
          </w:p>
        </w:tc>
        <w:tc>
          <w:tcPr>
            <w:tcW w:type="dxa" w:w="1080"/>
          </w:tcPr>
          <w:p>
            <w:r>
              <w:rPr>
                <w:rFonts w:ascii="Calibri" w:hAnsi="Calibri"/>
                <w:sz w:val="22"/>
              </w:rPr>
              <w:t>$8.502</w:t>
            </w:r>
          </w:p>
        </w:tc>
        <w:tc>
          <w:tcPr>
            <w:tcW w:type="dxa" w:w="1080"/>
          </w:tcPr>
          <w:p>
            <w:r>
              <w:rPr>
                <w:rFonts w:ascii="Calibri" w:hAnsi="Calibri"/>
                <w:sz w:val="22"/>
              </w:rPr>
              <w:t>+0.3%</w:t>
            </w:r>
          </w:p>
        </w:tc>
        <w:tc>
          <w:tcPr>
            <w:tcW w:type="dxa" w:w="1080"/>
          </w:tcPr>
          <w:p>
            <w:r>
              <w:rPr>
                <w:rFonts w:ascii="Calibri" w:hAnsi="Calibri"/>
                <w:sz w:val="22"/>
              </w:rPr>
              <w:t>$8.53 midpoint ($8.37–$8.69)</w:t>
            </w:r>
          </w:p>
        </w:tc>
        <w:tc>
          <w:tcPr>
            <w:tcW w:type="dxa" w:w="1080"/>
          </w:tcPr>
          <w:p>
            <w:r>
              <w:rPr>
                <w:rFonts w:ascii="Calibri" w:hAnsi="Calibri"/>
                <w:sz w:val="22"/>
              </w:rPr>
              <w:t>$8.53 midpoint (unchanged)</w:t>
            </w:r>
          </w:p>
        </w:tc>
        <w:tc>
          <w:tcPr>
            <w:tcW w:type="dxa" w:w="1080"/>
          </w:tcPr>
          <w:p>
            <w:r>
              <w:rPr>
                <w:rFonts w:ascii="Calibri" w:hAnsi="Calibri"/>
                <w:sz w:val="22"/>
              </w:rPr>
              <w:t>Flat</w:t>
            </w:r>
          </w:p>
        </w:tc>
        <w:tc>
          <w:tcPr>
            <w:tcW w:type="dxa" w:w="1080"/>
          </w:tcPr>
          <w:p>
            <w:r>
              <w:rPr>
                <w:rFonts w:ascii="Calibri" w:hAnsi="Calibri"/>
                <w:sz w:val="22"/>
              </w:rPr>
              <w:t>-0.3% below midpoint</w:t>
            </w:r>
          </w:p>
        </w:tc>
      </w:tr>
      <w:tr>
        <w:tc>
          <w:tcPr>
            <w:tcW w:type="dxa" w:w="1080"/>
          </w:tcPr>
          <w:p>
            <w:r>
              <w:rPr>
                <w:rFonts w:ascii="Calibri" w:hAnsi="Calibri"/>
                <w:sz w:val="22"/>
              </w:rPr>
              <w:t>SS Revenue Growth — Q2 2026</w:t>
            </w:r>
          </w:p>
        </w:tc>
        <w:tc>
          <w:tcPr>
            <w:tcW w:type="dxa" w:w="1080"/>
          </w:tcPr>
          <w:p>
            <w:r>
              <w:rPr>
                <w:rFonts w:ascii="Calibri" w:hAnsi="Calibri"/>
                <w:sz w:val="22"/>
              </w:rPr>
              <w:t>+0.014%</w:t>
            </w:r>
          </w:p>
        </w:tc>
        <w:tc>
          <w:tcPr>
            <w:tcW w:type="dxa" w:w="1080"/>
          </w:tcPr>
          <w:p>
            <w:r>
              <w:rPr>
                <w:rFonts w:ascii="Calibri" w:hAnsi="Calibri"/>
                <w:sz w:val="22"/>
              </w:rPr>
              <w:t>~0.0%</w:t>
            </w:r>
          </w:p>
        </w:tc>
        <w:tc>
          <w:tcPr>
            <w:tcW w:type="dxa" w:w="1080"/>
          </w:tcPr>
          <w:p>
            <w:r>
              <w:rPr>
                <w:rFonts w:ascii="Calibri" w:hAnsi="Calibri"/>
                <w:sz w:val="22"/>
              </w:rPr>
              <w:t>~Flat</w:t>
            </w:r>
          </w:p>
        </w:tc>
        <w:tc>
          <w:tcPr>
            <w:tcW w:type="dxa" w:w="1080"/>
          </w:tcPr>
          <w:p>
            <w:r>
              <w:rPr>
                <w:rFonts w:ascii="Calibri" w:hAnsi="Calibri"/>
                <w:sz w:val="22"/>
              </w:rPr>
              <w:t>N/A (FY guided: +0.55% midpoint)</w:t>
            </w:r>
          </w:p>
        </w:tc>
        <w:tc>
          <w:tcPr>
            <w:tcW w:type="dxa" w:w="1080"/>
          </w:tcPr>
          <w:p>
            <w:r>
              <w:rPr>
                <w:rFonts w:ascii="Calibri" w:hAnsi="Calibri"/>
                <w:sz w:val="22"/>
              </w:rPr>
              <w:t>N/A (FY unchanged)</w:t>
            </w:r>
          </w:p>
        </w:tc>
        <w:tc>
          <w:tcPr>
            <w:tcW w:type="dxa" w:w="1080"/>
          </w:tcPr>
          <w:p>
            <w:r>
              <w:rPr>
                <w:rFonts w:ascii="Calibri" w:hAnsi="Calibri"/>
                <w:sz w:val="22"/>
              </w:rPr>
              <w:t>Flat</w:t>
            </w:r>
          </w:p>
        </w:tc>
        <w:tc>
          <w:tcPr>
            <w:tcW w:type="dxa" w:w="1080"/>
          </w:tcPr>
          <w:p>
            <w:r>
              <w:rPr>
                <w:rFonts w:ascii="Calibri" w:hAnsi="Calibri"/>
                <w:sz w:val="22"/>
              </w:rPr>
              <w:t>N/A</w:t>
            </w:r>
          </w:p>
        </w:tc>
      </w:tr>
      <w:tr>
        <w:tc>
          <w:tcPr>
            <w:tcW w:type="dxa" w:w="1080"/>
          </w:tcPr>
          <w:p>
            <w:r>
              <w:rPr>
                <w:rFonts w:ascii="Calibri" w:hAnsi="Calibri"/>
                <w:sz w:val="22"/>
              </w:rPr>
              <w:t>SS Revenue Growth — FY 2026</w:t>
            </w:r>
          </w:p>
        </w:tc>
        <w:tc>
          <w:tcPr>
            <w:tcW w:type="dxa" w:w="1080"/>
          </w:tcPr>
          <w:p>
            <w:r>
              <w:rPr>
                <w:rFonts w:ascii="Calibri" w:hAnsi="Calibri"/>
                <w:sz w:val="22"/>
              </w:rPr>
              <w:t>+0.229%</w:t>
            </w:r>
          </w:p>
        </w:tc>
        <w:tc>
          <w:tcPr>
            <w:tcW w:type="dxa" w:w="1080"/>
          </w:tcPr>
          <w:p>
            <w:r>
              <w:rPr>
                <w:rFonts w:ascii="Calibri" w:hAnsi="Calibri"/>
                <w:sz w:val="22"/>
              </w:rPr>
              <w:t>+0.233%</w:t>
            </w:r>
          </w:p>
        </w:tc>
        <w:tc>
          <w:tcPr>
            <w:tcW w:type="dxa" w:w="1080"/>
          </w:tcPr>
          <w:p>
            <w:r>
              <w:rPr>
                <w:rFonts w:ascii="Calibri" w:hAnsi="Calibri"/>
                <w:sz w:val="22"/>
              </w:rPr>
              <w:t>+0.2%</w:t>
            </w:r>
          </w:p>
        </w:tc>
        <w:tc>
          <w:tcPr>
            <w:tcW w:type="dxa" w:w="1080"/>
          </w:tcPr>
          <w:p>
            <w:r>
              <w:rPr>
                <w:rFonts w:ascii="Calibri" w:hAnsi="Calibri"/>
                <w:sz w:val="22"/>
              </w:rPr>
              <w:t>+0.55% midpoint</w:t>
            </w:r>
          </w:p>
        </w:tc>
        <w:tc>
          <w:tcPr>
            <w:tcW w:type="dxa" w:w="1080"/>
          </w:tcPr>
          <w:p>
            <w:r>
              <w:rPr>
                <w:rFonts w:ascii="Calibri" w:hAnsi="Calibri"/>
                <w:sz w:val="22"/>
              </w:rPr>
              <w:t>+0.55% midpoint (unchanged)</w:t>
            </w:r>
          </w:p>
        </w:tc>
        <w:tc>
          <w:tcPr>
            <w:tcW w:type="dxa" w:w="1080"/>
          </w:tcPr>
          <w:p>
            <w:r>
              <w:rPr>
                <w:rFonts w:ascii="Calibri" w:hAnsi="Calibri"/>
                <w:sz w:val="22"/>
              </w:rPr>
              <w:t>Flat</w:t>
            </w:r>
          </w:p>
        </w:tc>
        <w:tc>
          <w:tcPr>
            <w:tcW w:type="dxa" w:w="1080"/>
          </w:tcPr>
          <w:p>
            <w:r>
              <w:rPr>
                <w:rFonts w:ascii="Calibri" w:hAnsi="Calibri"/>
                <w:sz w:val="22"/>
              </w:rPr>
              <w:t>-32 bps below midpoint</w:t>
            </w:r>
          </w:p>
        </w:tc>
      </w:tr>
      <w:tr>
        <w:tc>
          <w:tcPr>
            <w:tcW w:type="dxa" w:w="1080"/>
          </w:tcPr>
          <w:p>
            <w:r>
              <w:rPr>
                <w:rFonts w:ascii="Calibri" w:hAnsi="Calibri"/>
                <w:sz w:val="22"/>
              </w:rPr>
              <w:t>SS NOI Growth — Q2 2026</w:t>
            </w:r>
          </w:p>
        </w:tc>
        <w:tc>
          <w:tcPr>
            <w:tcW w:type="dxa" w:w="1080"/>
          </w:tcPr>
          <w:p>
            <w:r>
              <w:rPr>
                <w:rFonts w:ascii="Calibri" w:hAnsi="Calibri"/>
                <w:sz w:val="22"/>
              </w:rPr>
              <w:t>-1.538%</w:t>
            </w:r>
          </w:p>
        </w:tc>
        <w:tc>
          <w:tcPr>
            <w:tcW w:type="dxa" w:w="1080"/>
          </w:tcPr>
          <w:p>
            <w:r>
              <w:rPr>
                <w:rFonts w:ascii="Calibri" w:hAnsi="Calibri"/>
                <w:sz w:val="22"/>
              </w:rPr>
              <w:t>-1.525%</w:t>
            </w:r>
          </w:p>
        </w:tc>
        <w:tc>
          <w:tcPr>
            <w:tcW w:type="dxa" w:w="1080"/>
          </w:tcPr>
          <w:p>
            <w:r>
              <w:rPr>
                <w:rFonts w:ascii="Calibri" w:hAnsi="Calibri"/>
                <w:sz w:val="22"/>
              </w:rPr>
              <w:t>+0.1%</w:t>
            </w:r>
          </w:p>
        </w:tc>
        <w:tc>
          <w:tcPr>
            <w:tcW w:type="dxa" w:w="1080"/>
          </w:tcPr>
          <w:p>
            <w:r>
              <w:rPr>
                <w:rFonts w:ascii="Calibri" w:hAnsi="Calibri"/>
                <w:sz w:val="22"/>
              </w:rPr>
              <w:t>N/A (FY guided: -0.70% midpoint)</w:t>
            </w:r>
          </w:p>
        </w:tc>
        <w:tc>
          <w:tcPr>
            <w:tcW w:type="dxa" w:w="1080"/>
          </w:tcPr>
          <w:p>
            <w:r>
              <w:rPr>
                <w:rFonts w:ascii="Calibri" w:hAnsi="Calibri"/>
                <w:sz w:val="22"/>
              </w:rPr>
              <w:t>N/A (FY unchanged)</w:t>
            </w:r>
          </w:p>
        </w:tc>
        <w:tc>
          <w:tcPr>
            <w:tcW w:type="dxa" w:w="1080"/>
          </w:tcPr>
          <w:p>
            <w:r>
              <w:rPr>
                <w:rFonts w:ascii="Calibri" w:hAnsi="Calibri"/>
                <w:sz w:val="22"/>
              </w:rPr>
              <w:t>Flat</w:t>
            </w:r>
          </w:p>
        </w:tc>
        <w:tc>
          <w:tcPr>
            <w:tcW w:type="dxa" w:w="1080"/>
          </w:tcPr>
          <w:p>
            <w:r>
              <w:rPr>
                <w:rFonts w:ascii="Calibri" w:hAnsi="Calibri"/>
                <w:sz w:val="22"/>
              </w:rPr>
              <w:t>N/A</w:t>
            </w:r>
          </w:p>
        </w:tc>
      </w:tr>
      <w:tr>
        <w:tc>
          <w:tcPr>
            <w:tcW w:type="dxa" w:w="1080"/>
          </w:tcPr>
          <w:p>
            <w:r>
              <w:rPr>
                <w:rFonts w:ascii="Calibri" w:hAnsi="Calibri"/>
                <w:sz w:val="22"/>
              </w:rPr>
              <w:t>SS NOI Growth — FY 2026</w:t>
            </w:r>
          </w:p>
        </w:tc>
        <w:tc>
          <w:tcPr>
            <w:tcW w:type="dxa" w:w="1080"/>
          </w:tcPr>
          <w:p>
            <w:r>
              <w:rPr>
                <w:rFonts w:ascii="Calibri" w:hAnsi="Calibri"/>
                <w:sz w:val="22"/>
              </w:rPr>
              <w:t>-1.097%</w:t>
            </w:r>
          </w:p>
        </w:tc>
        <w:tc>
          <w:tcPr>
            <w:tcW w:type="dxa" w:w="1080"/>
          </w:tcPr>
          <w:p>
            <w:r>
              <w:rPr>
                <w:rFonts w:ascii="Calibri" w:hAnsi="Calibri"/>
                <w:sz w:val="22"/>
              </w:rPr>
              <w:t>-1.082%</w:t>
            </w:r>
          </w:p>
        </w:tc>
        <w:tc>
          <w:tcPr>
            <w:tcW w:type="dxa" w:w="1080"/>
          </w:tcPr>
          <w:p>
            <w:r>
              <w:rPr>
                <w:rFonts w:ascii="Calibri" w:hAnsi="Calibri"/>
                <w:sz w:val="22"/>
              </w:rPr>
              <w:t>+0.1%</w:t>
            </w:r>
          </w:p>
        </w:tc>
        <w:tc>
          <w:tcPr>
            <w:tcW w:type="dxa" w:w="1080"/>
          </w:tcPr>
          <w:p>
            <w:r>
              <w:rPr>
                <w:rFonts w:ascii="Calibri" w:hAnsi="Calibri"/>
                <w:sz w:val="22"/>
              </w:rPr>
              <w:t>-0.70% midpoint</w:t>
            </w:r>
          </w:p>
        </w:tc>
        <w:tc>
          <w:tcPr>
            <w:tcW w:type="dxa" w:w="1080"/>
          </w:tcPr>
          <w:p>
            <w:r>
              <w:rPr>
                <w:rFonts w:ascii="Calibri" w:hAnsi="Calibri"/>
                <w:sz w:val="22"/>
              </w:rPr>
              <w:t>-0.70% midpoint (unchanged)</w:t>
            </w:r>
          </w:p>
        </w:tc>
        <w:tc>
          <w:tcPr>
            <w:tcW w:type="dxa" w:w="1080"/>
          </w:tcPr>
          <w:p>
            <w:r>
              <w:rPr>
                <w:rFonts w:ascii="Calibri" w:hAnsi="Calibri"/>
                <w:sz w:val="22"/>
              </w:rPr>
              <w:t>Flat</w:t>
            </w:r>
          </w:p>
        </w:tc>
        <w:tc>
          <w:tcPr>
            <w:tcW w:type="dxa" w:w="1080"/>
          </w:tcPr>
          <w:p>
            <w:r>
              <w:rPr>
                <w:rFonts w:ascii="Calibri" w:hAnsi="Calibri"/>
                <w:sz w:val="22"/>
              </w:rPr>
              <w:t>-38 bps below midpoint</w:t>
            </w:r>
          </w:p>
        </w:tc>
      </w:tr>
      <w:tr>
        <w:tc>
          <w:tcPr>
            <w:tcW w:type="dxa" w:w="1080"/>
          </w:tcPr>
          <w:p>
            <w:r>
              <w:rPr>
                <w:rFonts w:ascii="Calibri" w:hAnsi="Calibri"/>
                <w:sz w:val="22"/>
              </w:rPr>
              <w:t>Blended Lease Rate — Q2 2026</w:t>
            </w:r>
          </w:p>
        </w:tc>
        <w:tc>
          <w:tcPr>
            <w:tcW w:type="dxa" w:w="1080"/>
          </w:tcPr>
          <w:p>
            <w:r>
              <w:rPr>
                <w:rFonts w:ascii="Calibri" w:hAnsi="Calibri"/>
                <w:sz w:val="22"/>
              </w:rPr>
              <w:t>-0.116%</w:t>
            </w:r>
          </w:p>
        </w:tc>
        <w:tc>
          <w:tcPr>
            <w:tcW w:type="dxa" w:w="1080"/>
          </w:tcPr>
          <w:p>
            <w:r>
              <w:rPr>
                <w:rFonts w:ascii="Calibri" w:hAnsi="Calibri"/>
                <w:sz w:val="22"/>
              </w:rPr>
              <w:t>+0.872%</w:t>
            </w:r>
          </w:p>
        </w:tc>
        <w:tc>
          <w:tcPr>
            <w:tcW w:type="dxa" w:w="1080"/>
          </w:tcPr>
          <w:p>
            <w:r>
              <w:rPr>
                <w:rFonts w:ascii="Calibri" w:hAnsi="Calibri"/>
                <w:sz w:val="22"/>
              </w:rPr>
              <w:t>+N/M (large positive shift)</w:t>
            </w:r>
          </w:p>
        </w:tc>
        <w:tc>
          <w:tcPr>
            <w:tcW w:type="dxa" w:w="1080"/>
          </w:tcPr>
          <w:p>
            <w:r>
              <w:rPr>
                <w:rFonts w:ascii="Calibri" w:hAnsi="Calibri"/>
                <w:sz w:val="22"/>
              </w:rPr>
              <w:t>1.0%–1.5% FY blended</w:t>
            </w:r>
          </w:p>
        </w:tc>
        <w:tc>
          <w:tcPr>
            <w:tcW w:type="dxa" w:w="1080"/>
          </w:tcPr>
          <w:p>
            <w:r>
              <w:rPr>
                <w:rFonts w:ascii="Calibri" w:hAnsi="Calibri"/>
                <w:sz w:val="22"/>
              </w:rPr>
              <w:t>1.0%–1.5% FY blended (unchanged)</w:t>
            </w:r>
          </w:p>
        </w:tc>
        <w:tc>
          <w:tcPr>
            <w:tcW w:type="dxa" w:w="1080"/>
          </w:tcPr>
          <w:p>
            <w:r>
              <w:rPr>
                <w:rFonts w:ascii="Calibri" w:hAnsi="Calibri"/>
                <w:sz w:val="22"/>
              </w:rPr>
              <w:t>Flat</w:t>
            </w:r>
          </w:p>
        </w:tc>
        <w:tc>
          <w:tcPr>
            <w:tcW w:type="dxa" w:w="1080"/>
          </w:tcPr>
          <w:p>
            <w:r>
              <w:rPr>
                <w:rFonts w:ascii="Calibri" w:hAnsi="Calibri"/>
                <w:sz w:val="22"/>
              </w:rPr>
              <w:t>Below FY guidance range</w:t>
            </w:r>
          </w:p>
        </w:tc>
      </w:tr>
    </w:tbl>
    <w:p>
      <w:r>
        <w:rPr>
          <w:rFonts w:ascii="Calibri" w:hAnsi="Calibri"/>
          <w:i/>
          <w:color w:val="525866"/>
          <w:sz w:val="22"/>
        </w:rPr>
        <w:t>The most notable revision dynamic is in blended lease rates: the Q2 2026 consensus moved from -0.12% (as of May 4) to +0.87% currently, reflecting the market incorporating the positive Nareit data point. Despite this, FY blended consensus of +0.70% remains well below management's 1.0%–1.5% guidance range, suggesting the street is still not fully crediting the recovery trajectory. A Q2 beat on blended rates could catalyze meaningful upward FY revisions.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MAA has outperformed the S&amp;P 500 (+4.6% vs. +4.1%) since the Q1 earnings date but lagged VNQ (+6.4%), with the bulk of the outperformance driven by the June Nareit conference catalyst — suggesting the re-rating has been sentiment/tone-driven rather than estimate-revision-driven, and may have more room to run if Q2 results confirm the leasing inflection.</w:t>
      </w:r>
    </w:p>
    <w:p>
      <w:r>
        <w:rPr>
          <w:rFonts w:ascii="Calibri" w:hAnsi="Calibri"/>
          <w:color w:val="525866"/>
          <w:sz w:val="22"/>
        </w:rPr>
        <w:t>Since the Q1 2026 earnings date (April 29, 2026), MAA shares have risen from $129.71 to $135.64 (as of July 28, 2026), a gain of +$5.93 / +4.57%. The stock traded in a narrow range of $125–$131 through late May before breaking out sharply in early June, coinciding with the Nareit REITweek conference (June 2–4) where management reported May blended lease rates at the highest level in nearly two years. The stock reached a high of ~$142 in early July before pulling back modestly. VNQ (the REIT sector ETF) outperformed MAA over the same period (+6.4%), reflecting broader REIT sector tailwinds from rate expectations, while the S&amp;P 500 gained +4.1%. The June Nareit conference was the single most material event driving MAA's outperformance, with the stock gaining ~$8 in the week surrounding the conference. The $350M unsecured term loan announcement (June 25) provided additional balance sheet confidence but had a more muted stock impact.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MAA vs. VNQ vs. S&amp;P 500 — Indexed Price Performance Since Q1 2026 Earnings (April 29, 2026). 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Peers reporting Q2 2026 results this week (UDR, EQR, AVB) confirm the Sunbelt leasing recovery is real but uneven — new lease rates remain negative in Sunbelt markets but are improving sequentially, occupancy is holding firm, and the demand/supply setup is broadly supportive for H2 2026 and 2027. CPT's Q1 2026 call (May 2026) provided the most detailed forward-looking Sunbelt commentary, flagging a 'hockey stick' recovery cadence and strong absorption data that is directly read-through positive for MAA.</w:t>
      </w:r>
    </w:p>
    <w:p>
      <w:r>
        <w:rPr>
          <w:rFonts w:ascii="Calibri" w:hAnsi="Calibri"/>
          <w:i/>
          <w:color w:val="525866"/>
          <w:sz w:val="22"/>
        </w:rPr>
        <w:t>Note: Only commentary made after MAA's Q1 2026 earnings call (April 29–30, 2026) that speaks to Q2 2026 conditions or the forward outlook is included below. Backward-looking Q1 2026 results commentary from peers is excluded.</w:t>
      </w:r>
    </w:p>
    <w:p>
      <w:pPr>
        <w:pStyle w:val="Heading3"/>
      </w:pPr>
      <w:r>
        <w:rPr>
          <w:rFonts w:ascii="Calibri" w:hAnsi="Calibri"/>
          <w:b/>
          <w:color w:val="3B4259"/>
          <w:sz w:val="24"/>
        </w:rPr>
        <w:t>Camden Property Trust (CPT) — Q1 2026 Earnings Call (May 1, 2026)</w:t>
      </w:r>
    </w:p>
    <w:p>
      <w:r>
        <w:rPr>
          <w:rFonts w:ascii="Calibri" w:hAnsi="Calibri"/>
          <w:b/>
          <w:color w:val="525866"/>
          <w:sz w:val="22"/>
        </w:rPr>
        <w:t>Forward-Looking Read-Through for MAA Q2 2026:</w:t>
      </w:r>
    </w:p>
    <w:p>
      <w:pPr>
        <w:pStyle w:val="ListBullet"/>
        <w:ind w:left="360" w:hanging="360"/>
      </w:pPr>
      <w:r>
        <w:rPr>
          <w:rFonts w:ascii="Calibri" w:hAnsi="Calibri"/>
          <w:b/>
          <w:color w:val="525866"/>
          <w:sz w:val="22"/>
        </w:rPr>
        <w:t xml:space="preserve">Supply halved, absorption surging: </w:t>
      </w:r>
      <w:r>
        <w:rPr>
          <w:rFonts w:ascii="Calibri" w:hAnsi="Calibri"/>
          <w:color w:val="525866"/>
          <w:sz w:val="22"/>
        </w:rPr>
        <w:t>CPT management stated new supply has peaked and been cut in half in most markets, with Q1 2026 apartment net absorption one of the best since 2016 — a direct positive read-through for MAA's Sunbelt portfolio where supply is down ~40% YoY.</w:t>
      </w:r>
    </w:p>
    <w:p>
      <w:pPr>
        <w:pStyle w:val="ListBullet"/>
        <w:ind w:left="360" w:hanging="360"/>
      </w:pPr>
      <w:r>
        <w:rPr>
          <w:rFonts w:ascii="Calibri" w:hAnsi="Calibri"/>
          <w:b/>
          <w:color w:val="525866"/>
          <w:sz w:val="22"/>
        </w:rPr>
        <w:t xml:space="preserve">Q2 2026 occupancy and blended rates improving: </w:t>
      </w:r>
      <w:r>
        <w:rPr>
          <w:rFonts w:ascii="Calibri" w:hAnsi="Calibri"/>
          <w:color w:val="525866"/>
          <w:sz w:val="22"/>
        </w:rPr>
        <w:t>April occupancy was ~95.4% (vs. 95.1% in Q1), and blended rates in April were up ~100 bps vs. Q1 — consistent with MAA's own April data (95.5% occupancy, improving blended rates).</w:t>
      </w:r>
    </w:p>
    <w:p>
      <w:pPr>
        <w:pStyle w:val="ListBullet"/>
        <w:ind w:left="360" w:hanging="360"/>
      </w:pPr>
      <w:r>
        <w:rPr>
          <w:rFonts w:ascii="Calibri" w:hAnsi="Calibri"/>
          <w:b/>
          <w:color w:val="525866"/>
          <w:sz w:val="22"/>
        </w:rPr>
        <w:t xml:space="preserve">'Hockey stick' recovery cadence: </w:t>
      </w:r>
      <w:r>
        <w:rPr>
          <w:rFonts w:ascii="Calibri" w:hAnsi="Calibri"/>
          <w:color w:val="525866"/>
          <w:sz w:val="22"/>
        </w:rPr>
        <w:t>CPT guided to a 'pretty strong Q3' and 'atypical better Q4' as new supply is absorbed, with a recovery expected to resemble the post-GFC period (NOI up 7% in 2011, 9% in 2012). This is a bullish read-through for MAA's H2 2026 and 2027 trajectory.</w:t>
      </w:r>
    </w:p>
    <w:p>
      <w:pPr>
        <w:pStyle w:val="ListBullet"/>
        <w:ind w:left="360" w:hanging="360"/>
      </w:pPr>
      <w:r>
        <w:rPr>
          <w:rFonts w:ascii="Calibri" w:hAnsi="Calibri"/>
          <w:b/>
          <w:color w:val="525866"/>
          <w:sz w:val="22"/>
        </w:rPr>
        <w:t xml:space="preserve">Concessions declining meaningfully: </w:t>
      </w:r>
      <w:r>
        <w:rPr>
          <w:rFonts w:ascii="Calibri" w:hAnsi="Calibri"/>
          <w:color w:val="525866"/>
          <w:sz w:val="22"/>
        </w:rPr>
        <w:t>CPT observed concessions coming down 'fairly meaningfully' in most markets, tied to the reduction in new supply — a leading indicator for MAA's new lease rate recovery as concession-driven competition eases.</w:t>
      </w:r>
    </w:p>
    <w:p>
      <w:pPr>
        <w:pStyle w:val="ListBullet"/>
        <w:ind w:left="360" w:hanging="360"/>
      </w:pPr>
      <w:r>
        <w:rPr>
          <w:rFonts w:ascii="Calibri" w:hAnsi="Calibri"/>
          <w:b/>
          <w:color w:val="525866"/>
          <w:sz w:val="22"/>
        </w:rPr>
        <w:t xml:space="preserve">Green shoots markets overlap with MAA: </w:t>
      </w:r>
      <w:r>
        <w:rPr>
          <w:rFonts w:ascii="Calibri" w:hAnsi="Calibri"/>
          <w:color w:val="525866"/>
          <w:sz w:val="22"/>
        </w:rPr>
        <w:t>CPT flagged Atlanta, Dallas, Orlando, Nashville, Raleigh, and Southeast Florida as 'green shoots' markets showing early improvement — all key MAA markets. Dallas led the nation in absolute job growth for the 12 months ended January 2026.</w:t>
      </w:r>
    </w:p>
    <w:p>
      <w:pPr>
        <w:pStyle w:val="ListBullet"/>
        <w:ind w:left="360" w:hanging="360"/>
      </w:pPr>
      <w:r>
        <w:rPr>
          <w:rFonts w:ascii="Calibri" w:hAnsi="Calibri"/>
          <w:b/>
          <w:color w:val="525866"/>
          <w:sz w:val="22"/>
        </w:rPr>
        <w:t xml:space="preserve">Renewal offers in mid-3% range for May–July: </w:t>
      </w:r>
      <w:r>
        <w:rPr>
          <w:rFonts w:ascii="Calibri" w:hAnsi="Calibri"/>
          <w:color w:val="525866"/>
          <w:sz w:val="22"/>
        </w:rPr>
        <w:t>CPT sent renewal offers for May, June, and July at an average increase in the mid-3% range, with expectations to achieve slightly more during peak leasing season — directionally consistent with MAA's 5%+ renewal guidance (MAA's portfolio skews more suburban/mid-tier where renewals are stronger).</w:t>
      </w:r>
    </w:p>
    <w:p>
      <w:pPr>
        <w:pStyle w:val="ListBullet"/>
        <w:ind w:left="360" w:hanging="360"/>
      </w:pPr>
      <w:r>
        <w:rPr>
          <w:rFonts w:ascii="Calibri" w:hAnsi="Calibri"/>
          <w:b/>
          <w:color w:val="525866"/>
          <w:sz w:val="22"/>
        </w:rPr>
        <w:t xml:space="preserve">Resident financial health strong: </w:t>
      </w:r>
      <w:r>
        <w:rPr>
          <w:rFonts w:ascii="Calibri" w:hAnsi="Calibri"/>
          <w:color w:val="525866"/>
          <w:sz w:val="22"/>
        </w:rPr>
        <w:t>Renters paying only 19% of income toward rent; bad debt at lowest level since COVID onset (&lt;40 bps); 2026 tax refunds up ~10% for middle/higher-income earners — all supportive of MAA's resident base.</w:t>
      </w:r>
    </w:p>
    <w:p>
      <w:pPr>
        <w:pStyle w:val="Heading3"/>
      </w:pPr>
      <w:r>
        <w:rPr>
          <w:rFonts w:ascii="Calibri" w:hAnsi="Calibri"/>
          <w:b/>
          <w:color w:val="3B4259"/>
          <w:sz w:val="24"/>
        </w:rPr>
        <w:t>UDR, Inc. (UDR) — Q2 2026 Earnings Call (July 28, 2026)</w:t>
      </w:r>
    </w:p>
    <w:p>
      <w:r>
        <w:rPr>
          <w:rFonts w:ascii="Calibri" w:hAnsi="Calibri"/>
          <w:b/>
          <w:color w:val="525866"/>
          <w:sz w:val="22"/>
        </w:rPr>
        <w:t>Q2 2026 Sunbelt Read-Through for MAA:</w:t>
      </w:r>
    </w:p>
    <w:p>
      <w:pPr>
        <w:pStyle w:val="ListBullet"/>
        <w:ind w:left="360" w:hanging="360"/>
      </w:pPr>
      <w:r>
        <w:rPr>
          <w:rFonts w:ascii="Calibri" w:hAnsi="Calibri"/>
          <w:b/>
          <w:color w:val="525866"/>
          <w:sz w:val="22"/>
        </w:rPr>
        <w:t xml:space="preserve">Sunbelt new lease rates still negative but improving: </w:t>
      </w:r>
      <w:r>
        <w:rPr>
          <w:rFonts w:ascii="Calibri" w:hAnsi="Calibri"/>
          <w:color w:val="525866"/>
          <w:sz w:val="22"/>
        </w:rPr>
        <w:t>UDR reported Sunbelt new lease growth of approximately -7% to -7.5% in Q2 2026, improving to ~-5.5% to -6% in July as the company began pushing market rents. This is directionally consistent with MAA's Q1 new lease rate of -7.0% and suggests Q2 may show modest sequential improvement but remain negative.</w:t>
      </w:r>
    </w:p>
    <w:p>
      <w:pPr>
        <w:pStyle w:val="ListBullet"/>
        <w:ind w:left="360" w:hanging="360"/>
      </w:pPr>
      <w:r>
        <w:rPr>
          <w:rFonts w:ascii="Calibri" w:hAnsi="Calibri"/>
          <w:b/>
          <w:color w:val="525866"/>
          <w:sz w:val="22"/>
        </w:rPr>
        <w:t xml:space="preserve">Sunbelt blended rates: -2% in Q2, improving to -1.5% in July: </w:t>
      </w:r>
      <w:r>
        <w:rPr>
          <w:rFonts w:ascii="Calibri" w:hAnsi="Calibri"/>
          <w:color w:val="525866"/>
          <w:sz w:val="22"/>
        </w:rPr>
        <w:t>UDR's Sunbelt blended lease rate was -2% in Q2 2026 (vs. +3.8% in coastal markets), improving to ~-1.5% in July. This is a mixed read-through for MAA — MAA's blended rate consensus of +0.87% for Q2 implies MAA's stronger renewal performance (~5%+) is more than offsetting new lease weakness, consistent with the portfolio mix difference.</w:t>
      </w:r>
    </w:p>
    <w:p>
      <w:pPr>
        <w:pStyle w:val="ListBullet"/>
        <w:ind w:left="360" w:hanging="360"/>
      </w:pPr>
      <w:r>
        <w:rPr>
          <w:rFonts w:ascii="Calibri" w:hAnsi="Calibri"/>
          <w:b/>
          <w:color w:val="525866"/>
          <w:sz w:val="22"/>
        </w:rPr>
        <w:t xml:space="preserve">Dallas strongest Sunbelt market; occupancy ~97%: </w:t>
      </w:r>
      <w:r>
        <w:rPr>
          <w:rFonts w:ascii="Calibri" w:hAnsi="Calibri"/>
          <w:color w:val="525866"/>
          <w:sz w:val="22"/>
        </w:rPr>
        <w:t>UDR cited Dallas as its strongest Sunbelt market with ~97% occupancy, driven by corporate relocations (Public Storage to Frisco, Samsung to Plano, AT&amp;T headquarters nearby). Dallas is a top MAA market and this corporate activity is a direct demand tailwind.</w:t>
      </w:r>
    </w:p>
    <w:p>
      <w:pPr>
        <w:pStyle w:val="ListBullet"/>
        <w:ind w:left="360" w:hanging="360"/>
      </w:pPr>
      <w:r>
        <w:rPr>
          <w:rFonts w:ascii="Calibri" w:hAnsi="Calibri"/>
          <w:b/>
          <w:color w:val="525866"/>
          <w:sz w:val="22"/>
        </w:rPr>
        <w:t xml:space="preserve">Austin showing best momentum: </w:t>
      </w:r>
      <w:r>
        <w:rPr>
          <w:rFonts w:ascii="Calibri" w:hAnsi="Calibri"/>
          <w:color w:val="525866"/>
          <w:sz w:val="22"/>
        </w:rPr>
        <w:t>Austin achieved 97% occupancy for UDR with outmigration decreasing 8–10% YoY — positive for MAA's Austin exposure, though MAA has characterized Austin as still challenged on new lease pricing.</w:t>
      </w:r>
    </w:p>
    <w:p>
      <w:pPr>
        <w:pStyle w:val="ListBullet"/>
        <w:ind w:left="360" w:hanging="360"/>
      </w:pPr>
      <w:r>
        <w:rPr>
          <w:rFonts w:ascii="Calibri" w:hAnsi="Calibri"/>
          <w:b/>
          <w:color w:val="525866"/>
          <w:sz w:val="22"/>
        </w:rPr>
        <w:t xml:space="preserve">Florida (Orlando/Tampa) improving: </w:t>
      </w:r>
      <w:r>
        <w:rPr>
          <w:rFonts w:ascii="Calibri" w:hAnsi="Calibri"/>
          <w:color w:val="525866"/>
          <w:sz w:val="22"/>
        </w:rPr>
        <w:t>UDR reported Florida occupancy rising to ~97% (from 96% in Q1), with blended rates improving to ~-1.5% from -2.5% to -3% last quarter — positive for MAA's Orlando and Tampa exposure.</w:t>
      </w:r>
    </w:p>
    <w:p>
      <w:pPr>
        <w:pStyle w:val="ListBullet"/>
        <w:ind w:left="360" w:hanging="360"/>
      </w:pPr>
      <w:r>
        <w:rPr>
          <w:rFonts w:ascii="Calibri" w:hAnsi="Calibri"/>
          <w:b/>
          <w:color w:val="525866"/>
          <w:sz w:val="22"/>
        </w:rPr>
        <w:t xml:space="preserve">Nashville still pressured (-2% to -3% blended): </w:t>
      </w:r>
      <w:r>
        <w:rPr>
          <w:rFonts w:ascii="Calibri" w:hAnsi="Calibri"/>
          <w:color w:val="525866"/>
          <w:sz w:val="22"/>
        </w:rPr>
        <w:t>UDR's Nashville blended rates remain in the -2% to -3% range, though major employer anchors (Amazon, Oracle, Nissan Stadium) are expected to drive demand recovery. MAA has limited Nashville exposure but the supply overhang is a known headwind.</w:t>
      </w:r>
    </w:p>
    <w:p>
      <w:pPr>
        <w:pStyle w:val="ListBullet"/>
        <w:ind w:left="360" w:hanging="360"/>
      </w:pPr>
      <w:r>
        <w:rPr>
          <w:rFonts w:ascii="Calibri" w:hAnsi="Calibri"/>
          <w:b/>
          <w:color w:val="525866"/>
          <w:sz w:val="22"/>
        </w:rPr>
        <w:t xml:space="preserve">Leasing season 'elongated' vs. expectations: </w:t>
      </w:r>
      <w:r>
        <w:rPr>
          <w:rFonts w:ascii="Calibri" w:hAnsi="Calibri"/>
          <w:color w:val="525866"/>
          <w:sz w:val="22"/>
        </w:rPr>
        <w:t>UDR described the leasing season as more elongated than initially expected, with momentum continuing into July — a positive read-through suggesting the seasonal window for new lease rate improvement may extend further into Q3 than typical, benefiting MAA's H2 trajectory.</w:t>
      </w:r>
    </w:p>
    <w:p>
      <w:pPr>
        <w:pStyle w:val="ListBullet"/>
        <w:ind w:left="360" w:hanging="360"/>
      </w:pPr>
      <w:r>
        <w:rPr>
          <w:rFonts w:ascii="Calibri" w:hAnsi="Calibri"/>
          <w:b/>
          <w:color w:val="525866"/>
          <w:sz w:val="22"/>
        </w:rPr>
        <w:t xml:space="preserve">Sunbelt leading in 'other income' growth (5–7%): </w:t>
      </w:r>
      <w:r>
        <w:rPr>
          <w:rFonts w:ascii="Calibri" w:hAnsi="Calibri"/>
          <w:color w:val="525866"/>
          <w:sz w:val="22"/>
        </w:rPr>
        <w:t>UDR noted Sunbelt markets are leading the portfolio in other income growth, driven by the regulatory environment — a modest positive for MAA's ancillary revenue lines.</w:t>
      </w:r>
    </w:p>
    <w:p>
      <w:pPr>
        <w:pStyle w:val="Heading3"/>
      </w:pPr>
      <w:r>
        <w:rPr>
          <w:rFonts w:ascii="Calibri" w:hAnsi="Calibri"/>
          <w:b/>
          <w:color w:val="3B4259"/>
          <w:sz w:val="24"/>
        </w:rPr>
        <w:t>Equity Residential (EQR) — Q2 2026 Earnings Release (July 22, 2026)</w:t>
      </w:r>
    </w:p>
    <w:p>
      <w:r>
        <w:rPr>
          <w:rFonts w:ascii="Calibri" w:hAnsi="Calibri"/>
          <w:b/>
          <w:color w:val="525866"/>
          <w:sz w:val="22"/>
        </w:rPr>
        <w:t>Q2 2026 Sunbelt/Expansion Market Read-Through for MAA:</w:t>
      </w:r>
    </w:p>
    <w:p>
      <w:pPr>
        <w:pStyle w:val="ListBullet"/>
        <w:ind w:left="360" w:hanging="360"/>
      </w:pPr>
      <w:r>
        <w:rPr>
          <w:rFonts w:ascii="Calibri" w:hAnsi="Calibri"/>
          <w:b/>
          <w:color w:val="525866"/>
          <w:sz w:val="22"/>
        </w:rPr>
        <w:t xml:space="preserve">Guidance raised on same-store revenue and NOI: </w:t>
      </w:r>
      <w:r>
        <w:rPr>
          <w:rFonts w:ascii="Calibri" w:hAnsi="Calibri"/>
          <w:color w:val="525866"/>
          <w:sz w:val="22"/>
        </w:rPr>
        <w:t>EQR increased its full-year same-store revenue and NOI guidance, citing 'a solid demand environment characterized by occupancy and resident retention that remain at historically high levels' and 'declining levels of new supply in most of our markets.' This is a positive macro read-through for MAA.</w:t>
      </w:r>
    </w:p>
    <w:p>
      <w:pPr>
        <w:pStyle w:val="ListBullet"/>
        <w:ind w:left="360" w:hanging="360"/>
      </w:pPr>
      <w:r>
        <w:rPr>
          <w:rFonts w:ascii="Calibri" w:hAnsi="Calibri"/>
          <w:b/>
          <w:color w:val="525866"/>
          <w:sz w:val="22"/>
        </w:rPr>
        <w:t xml:space="preserve">Overall new lease rates improving sharply: </w:t>
      </w:r>
      <w:r>
        <w:rPr>
          <w:rFonts w:ascii="Calibri" w:hAnsi="Calibri"/>
          <w:color w:val="525866"/>
          <w:sz w:val="22"/>
        </w:rPr>
        <w:t>EQR's overall portfolio new lease change improved from -2.8% in Q1 2026 to -0.7% in Q2 2026, with July preliminary data showing -0.1% — approaching flat. While EQR is predominantly coastal, the trajectory of improvement is directionally positive for the broader apartment market.</w:t>
      </w:r>
    </w:p>
    <w:p>
      <w:pPr>
        <w:pStyle w:val="ListBullet"/>
        <w:ind w:left="360" w:hanging="360"/>
      </w:pPr>
      <w:r>
        <w:rPr>
          <w:rFonts w:ascii="Calibri" w:hAnsi="Calibri"/>
          <w:b/>
          <w:color w:val="525866"/>
          <w:sz w:val="22"/>
        </w:rPr>
        <w:t xml:space="preserve">Blended rates at 2.8% in Q2, 3.0% in July: </w:t>
      </w:r>
      <w:r>
        <w:rPr>
          <w:rFonts w:ascii="Calibri" w:hAnsi="Calibri"/>
          <w:color w:val="525866"/>
          <w:sz w:val="22"/>
        </w:rPr>
        <w:t>EQR's overall blended rate of 2.8% in Q2 (vs. 2.7% in Q2 2025) and 3.0% preliminary in July reflects strong renewal performance (5.2% in Q2) offsetting new lease weakness — the same dynamic MAA is experiencing, though EQR's coastal markets are further along in the recovery.</w:t>
      </w:r>
    </w:p>
    <w:p>
      <w:pPr>
        <w:pStyle w:val="ListBullet"/>
        <w:ind w:left="360" w:hanging="360"/>
      </w:pPr>
      <w:r>
        <w:rPr>
          <w:rFonts w:ascii="Calibri" w:hAnsi="Calibri"/>
          <w:b/>
          <w:color w:val="525866"/>
          <w:sz w:val="22"/>
        </w:rPr>
        <w:t xml:space="preserve">Atlanta NOI down 2.6% YoY in Q2 (revenue -0.3%): </w:t>
      </w:r>
      <w:r>
        <w:rPr>
          <w:rFonts w:ascii="Calibri" w:hAnsi="Calibri"/>
          <w:color w:val="525866"/>
          <w:sz w:val="22"/>
        </w:rPr>
        <w:t>EQR's Atlanta portfolio (4,126 units) saw Q2 2026 revenues decline 0.3% YoY and NOI decline 2.6% YoY, with occupancy at 95.6% (+30 bps YoY). Atlanta is a key MAA market; the revenue pressure reflects ongoing supply absorption, though occupancy stability is encouraging.</w:t>
      </w:r>
    </w:p>
    <w:p>
      <w:pPr>
        <w:pStyle w:val="ListBullet"/>
        <w:ind w:left="360" w:hanging="360"/>
      </w:pPr>
      <w:r>
        <w:rPr>
          <w:rFonts w:ascii="Calibri" w:hAnsi="Calibri"/>
          <w:b/>
          <w:color w:val="525866"/>
          <w:sz w:val="22"/>
        </w:rPr>
        <w:t xml:space="preserve">Dallas/Austin NOI up 0.8% YoY in Q2 (revenue -1.3%): </w:t>
      </w:r>
      <w:r>
        <w:rPr>
          <w:rFonts w:ascii="Calibri" w:hAnsi="Calibri"/>
          <w:color w:val="525866"/>
          <w:sz w:val="22"/>
        </w:rPr>
        <w:t>EQR's Dallas/Austin portfolio (3,544 units) saw Q2 2026 revenues decline 1.3% YoY but NOI increase 0.8% YoY (driven by expense reduction of 4.0%), with occupancy at 95.9% (+50 bps YoY). The expense discipline driving NOI growth despite revenue pressure is a positive read-through for MAA's own expense management story.</w:t>
      </w:r>
    </w:p>
    <w:p>
      <w:pPr>
        <w:pStyle w:val="ListBullet"/>
        <w:ind w:left="360" w:hanging="360"/>
      </w:pPr>
      <w:r>
        <w:rPr>
          <w:rFonts w:ascii="Calibri" w:hAnsi="Calibri"/>
          <w:b/>
          <w:color w:val="525866"/>
          <w:sz w:val="22"/>
        </w:rPr>
        <w:t xml:space="preserve">Denver NOI down 9.9% YoY (revenue -6.4%): </w:t>
      </w:r>
      <w:r>
        <w:rPr>
          <w:rFonts w:ascii="Calibri" w:hAnsi="Calibri"/>
          <w:color w:val="525866"/>
          <w:sz w:val="22"/>
        </w:rPr>
        <w:t>EQR's Denver portfolio saw significant NOI pressure (-9.9% YoY), with average rental rates down 7.7% YoY. Denver is not a core MAA market, but the magnitude of pressure illustrates the risk in markets with heavy supply.</w:t>
      </w:r>
    </w:p>
    <w:p>
      <w:pPr>
        <w:pStyle w:val="ListBullet"/>
        <w:ind w:left="360" w:hanging="360"/>
      </w:pPr>
      <w:r>
        <w:rPr>
          <w:rFonts w:ascii="Calibri" w:hAnsi="Calibri"/>
          <w:b/>
          <w:color w:val="525866"/>
          <w:sz w:val="22"/>
        </w:rPr>
        <w:t xml:space="preserve">Positive supply/demand trends continuing through summer: </w:t>
      </w:r>
      <w:r>
        <w:rPr>
          <w:rFonts w:ascii="Calibri" w:hAnsi="Calibri"/>
          <w:color w:val="525866"/>
          <w:sz w:val="22"/>
        </w:rPr>
        <w:t>EQR COO Michael Manelis stated: 'Positive trends around both supply and demand continue to drive our operating performance during the primary leasing season and we continue to observe growing rents as we work our way through the summer' — a broadly positive read-through for MAA's Q2 and Q3 outlook.</w:t>
      </w:r>
    </w:p>
    <w:p>
      <w:pPr>
        <w:pStyle w:val="Heading3"/>
      </w:pPr>
      <w:r>
        <w:rPr>
          <w:rFonts w:ascii="Calibri" w:hAnsi="Calibri"/>
          <w:b/>
          <w:color w:val="3B4259"/>
          <w:sz w:val="24"/>
        </w:rPr>
        <w:t>AvalonBay Communities (AVB) — Q2 2026 Earnings Release (July 23, 2026)</w:t>
      </w:r>
    </w:p>
    <w:p>
      <w:r>
        <w:rPr>
          <w:rFonts w:ascii="Calibri" w:hAnsi="Calibri"/>
          <w:b/>
          <w:color w:val="525866"/>
          <w:sz w:val="22"/>
        </w:rPr>
        <w:t>Q2 2026 Expansion Market Read-Through for MAA:</w:t>
      </w:r>
    </w:p>
    <w:p>
      <w:pPr>
        <w:pStyle w:val="ListBullet"/>
        <w:ind w:left="360" w:hanging="360"/>
      </w:pPr>
      <w:r>
        <w:rPr>
          <w:rFonts w:ascii="Calibri" w:hAnsi="Calibri"/>
          <w:b/>
          <w:color w:val="525866"/>
          <w:sz w:val="22"/>
        </w:rPr>
        <w:t xml:space="preserve">Same-store NOI guidance raised: </w:t>
      </w:r>
      <w:r>
        <w:rPr>
          <w:rFonts w:ascii="Calibri" w:hAnsi="Calibri"/>
          <w:color w:val="525866"/>
          <w:sz w:val="22"/>
        </w:rPr>
        <w:t>AVB COO Sean Breslin stated: 'A healthier demand environment, easing new supply, and disciplined execution by our teams delivered strong rent growth and lower operating expenses in the first half of the year, enabling us to increase Same Store NOI guidance for the full year.' This is a positive macro read-through for MAA.</w:t>
      </w:r>
    </w:p>
    <w:p>
      <w:pPr>
        <w:pStyle w:val="ListBullet"/>
        <w:ind w:left="360" w:hanging="360"/>
      </w:pPr>
      <w:r>
        <w:rPr>
          <w:rFonts w:ascii="Calibri" w:hAnsi="Calibri"/>
          <w:b/>
          <w:color w:val="525866"/>
          <w:sz w:val="22"/>
        </w:rPr>
        <w:t xml:space="preserve">Full-year same-store guidance updated: </w:t>
      </w:r>
      <w:r>
        <w:rPr>
          <w:rFonts w:ascii="Calibri" w:hAnsi="Calibri"/>
          <w:color w:val="525866"/>
          <w:sz w:val="22"/>
        </w:rPr>
        <w:t>AVB updated its standalone FY 2026 same-store guidance to revenue growth of 1.1%–2.1% (midpoint ~1.6%), operating expense growth of 3.0%–4.0%, and NOI growth of 0%–1.4% — all above prior guidance, reflecting improving fundamentals.</w:t>
      </w:r>
    </w:p>
    <w:p>
      <w:pPr>
        <w:pStyle w:val="ListBullet"/>
        <w:ind w:left="360" w:hanging="360"/>
      </w:pPr>
      <w:r>
        <w:rPr>
          <w:rFonts w:ascii="Calibri" w:hAnsi="Calibri"/>
          <w:b/>
          <w:color w:val="525866"/>
          <w:sz w:val="22"/>
        </w:rPr>
        <w:t xml:space="preserve">Expansion regions (Raleigh/Charlotte, Dallas/Austin) NOI mixed: </w:t>
      </w:r>
      <w:r>
        <w:rPr>
          <w:rFonts w:ascii="Calibri" w:hAnsi="Calibri"/>
          <w:color w:val="525866"/>
          <w:sz w:val="22"/>
        </w:rPr>
        <w:t>AVB's 'Other Expansion Regions' (including Raleigh-Durham, Charlotte, Dallas, Austin) saw Q2 2026 NOI decline 1.7% YoY but improve 3.1% on a YTD basis. Charlotte and Austin remain challenged, consistent with MAA's characterization of Charlotte as a 2027 recovery story.</w:t>
      </w:r>
    </w:p>
    <w:p>
      <w:pPr>
        <w:pStyle w:val="ListBullet"/>
        <w:ind w:left="360" w:hanging="360"/>
      </w:pPr>
      <w:r>
        <w:rPr>
          <w:rFonts w:ascii="Calibri" w:hAnsi="Calibri"/>
          <w:b/>
          <w:color w:val="525866"/>
          <w:sz w:val="22"/>
        </w:rPr>
        <w:t xml:space="preserve">Concessions amortized increased YoY: </w:t>
      </w:r>
      <w:r>
        <w:rPr>
          <w:rFonts w:ascii="Calibri" w:hAnsi="Calibri"/>
          <w:color w:val="525866"/>
          <w:sz w:val="22"/>
        </w:rPr>
        <w:t>AVB's same-store residential concessions amortized were $7.1M in Q2 2026 vs. $5.7M in Q2 2025, while concessions granted were $4.5M vs. $4.4M — suggesting the concession burn-off is still working through the P&amp;L even as new concessions granted are stabilizing. This is consistent with MAA's commentary on concessions beginning to tick down.</w:t>
      </w:r>
    </w:p>
    <w:p>
      <w:pPr>
        <w:pStyle w:val="ListBullet"/>
        <w:ind w:left="360" w:hanging="360"/>
      </w:pPr>
      <w:r>
        <w:rPr>
          <w:rFonts w:ascii="Calibri" w:hAnsi="Calibri"/>
          <w:b/>
          <w:color w:val="525866"/>
          <w:sz w:val="22"/>
        </w:rPr>
        <w:t xml:space="preserve">High-quality portfolio in supply-constrained markets: </w:t>
      </w:r>
      <w:r>
        <w:rPr>
          <w:rFonts w:ascii="Calibri" w:hAnsi="Calibri"/>
          <w:color w:val="525866"/>
          <w:sz w:val="22"/>
        </w:rPr>
        <w:t>AVB CEO Benjamin Schall highlighted 'a high-quality portfolio in supply-constrained markets' as the enduring quality of the business — a reminder that AVB's coastal-heavy portfolio is further along in the recovery cycle than MAA's Sunbelt-heavy portfolio, but the trajectory is directionally positive.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Theme</w:t>
            </w:r>
          </w:p>
        </w:tc>
        <w:tc>
          <w:tcPr>
            <w:tcW w:type="dxa" w:w="1440"/>
            <w:shd w:val="clear" w:color="auto" w:fill="3B4259"/>
          </w:tcPr>
          <w:p>
            <w:r>
              <w:rPr>
                <w:rFonts w:ascii="Calibri" w:hAnsi="Calibri"/>
                <w:b/>
                <w:color w:val="FFFFFF"/>
                <w:sz w:val="22"/>
              </w:rPr>
              <w:t>CPT (May 1)</w:t>
            </w:r>
          </w:p>
        </w:tc>
        <w:tc>
          <w:tcPr>
            <w:tcW w:type="dxa" w:w="1440"/>
            <w:shd w:val="clear" w:color="auto" w:fill="3B4259"/>
          </w:tcPr>
          <w:p>
            <w:r>
              <w:rPr>
                <w:rFonts w:ascii="Calibri" w:hAnsi="Calibri"/>
                <w:b/>
                <w:color w:val="FFFFFF"/>
                <w:sz w:val="22"/>
              </w:rPr>
              <w:t>UDR (Jul 28)</w:t>
            </w:r>
          </w:p>
        </w:tc>
        <w:tc>
          <w:tcPr>
            <w:tcW w:type="dxa" w:w="1440"/>
            <w:shd w:val="clear" w:color="auto" w:fill="3B4259"/>
          </w:tcPr>
          <w:p>
            <w:r>
              <w:rPr>
                <w:rFonts w:ascii="Calibri" w:hAnsi="Calibri"/>
                <w:b/>
                <w:color w:val="FFFFFF"/>
                <w:sz w:val="22"/>
              </w:rPr>
              <w:t>EQR (Jul 22)</w:t>
            </w:r>
          </w:p>
        </w:tc>
        <w:tc>
          <w:tcPr>
            <w:tcW w:type="dxa" w:w="1440"/>
            <w:shd w:val="clear" w:color="auto" w:fill="3B4259"/>
          </w:tcPr>
          <w:p>
            <w:r>
              <w:rPr>
                <w:rFonts w:ascii="Calibri" w:hAnsi="Calibri"/>
                <w:b/>
                <w:color w:val="FFFFFF"/>
                <w:sz w:val="22"/>
              </w:rPr>
              <w:t>AVB (Jul 23)</w:t>
            </w:r>
          </w:p>
        </w:tc>
        <w:tc>
          <w:tcPr>
            <w:tcW w:type="dxa" w:w="1440"/>
            <w:shd w:val="clear" w:color="auto" w:fill="3B4259"/>
          </w:tcPr>
          <w:p>
            <w:r>
              <w:rPr>
                <w:rFonts w:ascii="Calibri" w:hAnsi="Calibri"/>
                <w:b/>
                <w:color w:val="FFFFFF"/>
                <w:sz w:val="22"/>
              </w:rPr>
              <w:t>MAA Read-Through</w:t>
            </w:r>
          </w:p>
        </w:tc>
      </w:tr>
      <w:tr>
        <w:tc>
          <w:tcPr>
            <w:tcW w:type="dxa" w:w="1440"/>
          </w:tcPr>
          <w:p>
            <w:r>
              <w:rPr>
                <w:rFonts w:ascii="Calibri" w:hAnsi="Calibri"/>
                <w:sz w:val="22"/>
              </w:rPr>
              <w:t>Supply trajectory</w:t>
            </w:r>
          </w:p>
        </w:tc>
        <w:tc>
          <w:tcPr>
            <w:tcW w:type="dxa" w:w="1440"/>
          </w:tcPr>
          <w:p>
            <w:r>
              <w:rPr>
                <w:rFonts w:ascii="Calibri" w:hAnsi="Calibri"/>
                <w:sz w:val="22"/>
              </w:rPr>
              <w:t>Down 50% from peak; cadence clear through 2028</w:t>
            </w:r>
          </w:p>
        </w:tc>
        <w:tc>
          <w:tcPr>
            <w:tcW w:type="dxa" w:w="1440"/>
          </w:tcPr>
          <w:p>
            <w:r>
              <w:rPr>
                <w:rFonts w:ascii="Calibri" w:hAnsi="Calibri"/>
                <w:sz w:val="22"/>
              </w:rPr>
              <w:t>Ongoing pressure in Dallas/Nashville but easing</w:t>
            </w:r>
          </w:p>
        </w:tc>
        <w:tc>
          <w:tcPr>
            <w:tcW w:type="dxa" w:w="1440"/>
          </w:tcPr>
          <w:p>
            <w:r>
              <w:rPr>
                <w:rFonts w:ascii="Calibri" w:hAnsi="Calibri"/>
                <w:sz w:val="22"/>
              </w:rPr>
              <w:t>Declining in most markets</w:t>
            </w:r>
          </w:p>
        </w:tc>
        <w:tc>
          <w:tcPr>
            <w:tcW w:type="dxa" w:w="1440"/>
          </w:tcPr>
          <w:p>
            <w:r>
              <w:rPr>
                <w:rFonts w:ascii="Calibri" w:hAnsi="Calibri"/>
                <w:sz w:val="22"/>
              </w:rPr>
              <w:t>Easing; NOI guidance raised</w:t>
            </w:r>
          </w:p>
        </w:tc>
        <w:tc>
          <w:tcPr>
            <w:tcW w:type="dxa" w:w="1440"/>
          </w:tcPr>
          <w:p>
            <w:r>
              <w:rPr>
                <w:rFonts w:ascii="Calibri" w:hAnsi="Calibri"/>
                <w:b/>
                <w:color w:val="30A46C"/>
                <w:sz w:val="22"/>
              </w:rPr>
              <w:t>Positive — MAA's markets down ~40% YoY</w:t>
            </w:r>
          </w:p>
        </w:tc>
      </w:tr>
      <w:tr>
        <w:tc>
          <w:tcPr>
            <w:tcW w:type="dxa" w:w="1440"/>
          </w:tcPr>
          <w:p>
            <w:r>
              <w:rPr>
                <w:rFonts w:ascii="Calibri" w:hAnsi="Calibri"/>
                <w:sz w:val="22"/>
              </w:rPr>
              <w:t>New lease rates (Sunbelt)</w:t>
            </w:r>
          </w:p>
        </w:tc>
        <w:tc>
          <w:tcPr>
            <w:tcW w:type="dxa" w:w="1440"/>
          </w:tcPr>
          <w:p>
            <w:r>
              <w:rPr>
                <w:rFonts w:ascii="Calibri" w:hAnsi="Calibri"/>
                <w:sz w:val="22"/>
              </w:rPr>
              <w:t>Improving; concessions declining</w:t>
            </w:r>
          </w:p>
        </w:tc>
        <w:tc>
          <w:tcPr>
            <w:tcW w:type="dxa" w:w="1440"/>
          </w:tcPr>
          <w:p>
            <w:r>
              <w:rPr>
                <w:rFonts w:ascii="Calibri" w:hAnsi="Calibri"/>
                <w:sz w:val="22"/>
              </w:rPr>
              <w:t>-7% to -7.5% Q2; improving to -5.5% to -6% in July</w:t>
            </w:r>
          </w:p>
        </w:tc>
        <w:tc>
          <w:tcPr>
            <w:tcW w:type="dxa" w:w="1440"/>
          </w:tcPr>
          <w:p>
            <w:r>
              <w:rPr>
                <w:rFonts w:ascii="Calibri" w:hAnsi="Calibri"/>
                <w:sz w:val="22"/>
              </w:rPr>
              <w:t>-0.7% overall Q2 (coastal-heavy)</w:t>
            </w:r>
          </w:p>
        </w:tc>
        <w:tc>
          <w:tcPr>
            <w:tcW w:type="dxa" w:w="1440"/>
          </w:tcPr>
          <w:p>
            <w:r>
              <w:rPr>
                <w:rFonts w:ascii="Calibri" w:hAnsi="Calibri"/>
                <w:sz w:val="22"/>
              </w:rPr>
              <w:t>Expansion regions mixed</w:t>
            </w:r>
          </w:p>
        </w:tc>
        <w:tc>
          <w:tcPr>
            <w:tcW w:type="dxa" w:w="1440"/>
          </w:tcPr>
          <w:p>
            <w:r>
              <w:rPr>
                <w:rFonts w:ascii="Calibri" w:hAnsi="Calibri"/>
                <w:b/>
                <w:color w:val="E5484D"/>
                <w:sz w:val="22"/>
              </w:rPr>
              <w:t>Cautious — new leases likely still negative in Q2</w:t>
            </w:r>
          </w:p>
        </w:tc>
      </w:tr>
      <w:tr>
        <w:tc>
          <w:tcPr>
            <w:tcW w:type="dxa" w:w="1440"/>
          </w:tcPr>
          <w:p>
            <w:r>
              <w:rPr>
                <w:rFonts w:ascii="Calibri" w:hAnsi="Calibri"/>
                <w:sz w:val="22"/>
              </w:rPr>
              <w:t>Blended lease rates</w:t>
            </w:r>
          </w:p>
        </w:tc>
        <w:tc>
          <w:tcPr>
            <w:tcW w:type="dxa" w:w="1440"/>
          </w:tcPr>
          <w:p>
            <w:r>
              <w:rPr>
                <w:rFonts w:ascii="Calibri" w:hAnsi="Calibri"/>
                <w:sz w:val="22"/>
              </w:rPr>
              <w:t>April up ~100 bps vs. Q1</w:t>
            </w:r>
          </w:p>
        </w:tc>
        <w:tc>
          <w:tcPr>
            <w:tcW w:type="dxa" w:w="1440"/>
          </w:tcPr>
          <w:p>
            <w:r>
              <w:rPr>
                <w:rFonts w:ascii="Calibri" w:hAnsi="Calibri"/>
                <w:sz w:val="22"/>
              </w:rPr>
              <w:t>Sunbelt -2% Q2; -1.5% July</w:t>
            </w:r>
          </w:p>
        </w:tc>
        <w:tc>
          <w:tcPr>
            <w:tcW w:type="dxa" w:w="1440"/>
          </w:tcPr>
          <w:p>
            <w:r>
              <w:rPr>
                <w:rFonts w:ascii="Calibri" w:hAnsi="Calibri"/>
                <w:sz w:val="22"/>
              </w:rPr>
              <w:t>+2.8% Q2; +3.0% July (coastal)</w:t>
            </w:r>
          </w:p>
        </w:tc>
        <w:tc>
          <w:tcPr>
            <w:tcW w:type="dxa" w:w="1440"/>
          </w:tcPr>
          <w:p>
            <w:r>
              <w:rPr>
                <w:rFonts w:ascii="Calibri" w:hAnsi="Calibri"/>
                <w:sz w:val="22"/>
              </w:rPr>
              <w:t>SS revenue +1.6% Q2 YoY</w:t>
            </w:r>
          </w:p>
        </w:tc>
        <w:tc>
          <w:tcPr>
            <w:tcW w:type="dxa" w:w="1440"/>
          </w:tcPr>
          <w:p>
            <w:r>
              <w:rPr>
                <w:rFonts w:ascii="Calibri" w:hAnsi="Calibri"/>
                <w:b/>
                <w:color w:val="002FA7"/>
                <w:sz w:val="22"/>
              </w:rPr>
              <w:t>Mixed — MAA's strong renewals should drive blended above Sunbelt peers</w:t>
            </w:r>
          </w:p>
        </w:tc>
      </w:tr>
      <w:tr>
        <w:tc>
          <w:tcPr>
            <w:tcW w:type="dxa" w:w="1440"/>
          </w:tcPr>
          <w:p>
            <w:r>
              <w:rPr>
                <w:rFonts w:ascii="Calibri" w:hAnsi="Calibri"/>
                <w:sz w:val="22"/>
              </w:rPr>
              <w:t>Occupancy</w:t>
            </w:r>
          </w:p>
        </w:tc>
        <w:tc>
          <w:tcPr>
            <w:tcW w:type="dxa" w:w="1440"/>
          </w:tcPr>
          <w:p>
            <w:r>
              <w:rPr>
                <w:rFonts w:ascii="Calibri" w:hAnsi="Calibri"/>
                <w:sz w:val="22"/>
              </w:rPr>
              <w:t>April 95.4%; improving</w:t>
            </w:r>
          </w:p>
        </w:tc>
        <w:tc>
          <w:tcPr>
            <w:tcW w:type="dxa" w:w="1440"/>
          </w:tcPr>
          <w:p>
            <w:r>
              <w:rPr>
                <w:rFonts w:ascii="Calibri" w:hAnsi="Calibri"/>
                <w:sz w:val="22"/>
              </w:rPr>
              <w:t>Dallas ~97%; Austin 97%; FL ~97%</w:t>
            </w:r>
          </w:p>
        </w:tc>
        <w:tc>
          <w:tcPr>
            <w:tcW w:type="dxa" w:w="1440"/>
          </w:tcPr>
          <w:p>
            <w:r>
              <w:rPr>
                <w:rFonts w:ascii="Calibri" w:hAnsi="Calibri"/>
                <w:sz w:val="22"/>
              </w:rPr>
              <w:t>96.2% Q2; historically high</w:t>
            </w:r>
          </w:p>
        </w:tc>
        <w:tc>
          <w:tcPr>
            <w:tcW w:type="dxa" w:w="1440"/>
          </w:tcPr>
          <w:p>
            <w:r>
              <w:rPr>
                <w:rFonts w:ascii="Calibri" w:hAnsi="Calibri"/>
                <w:sz w:val="22"/>
              </w:rPr>
              <w:t>Steady; guidance maintained</w:t>
            </w:r>
          </w:p>
        </w:tc>
        <w:tc>
          <w:tcPr>
            <w:tcW w:type="dxa" w:w="1440"/>
          </w:tcPr>
          <w:p>
            <w:r>
              <w:rPr>
                <w:rFonts w:ascii="Calibri" w:hAnsi="Calibri"/>
                <w:b/>
                <w:color w:val="30A46C"/>
                <w:sz w:val="22"/>
              </w:rPr>
              <w:t>Positive — occupancy stability confirmed across peers</w:t>
            </w:r>
          </w:p>
        </w:tc>
      </w:tr>
      <w:tr>
        <w:tc>
          <w:tcPr>
            <w:tcW w:type="dxa" w:w="1440"/>
          </w:tcPr>
          <w:p>
            <w:r>
              <w:rPr>
                <w:rFonts w:ascii="Calibri" w:hAnsi="Calibri"/>
                <w:sz w:val="22"/>
              </w:rPr>
              <w:t>Demand / corporate relocations</w:t>
            </w:r>
          </w:p>
        </w:tc>
        <w:tc>
          <w:tcPr>
            <w:tcW w:type="dxa" w:w="1440"/>
          </w:tcPr>
          <w:p>
            <w:r>
              <w:rPr>
                <w:rFonts w:ascii="Calibri" w:hAnsi="Calibri"/>
                <w:sz w:val="22"/>
              </w:rPr>
              <w:t>DFW #1 in job growth; migration reaccelerating</w:t>
            </w:r>
          </w:p>
        </w:tc>
        <w:tc>
          <w:tcPr>
            <w:tcW w:type="dxa" w:w="1440"/>
          </w:tcPr>
          <w:p>
            <w:r>
              <w:rPr>
                <w:rFonts w:ascii="Calibri" w:hAnsi="Calibri"/>
                <w:sz w:val="22"/>
              </w:rPr>
              <w:t>Public Storage, Samsung, AT&amp;T in Dallas</w:t>
            </w:r>
          </w:p>
        </w:tc>
        <w:tc>
          <w:tcPr>
            <w:tcW w:type="dxa" w:w="1440"/>
          </w:tcPr>
          <w:p>
            <w:r>
              <w:rPr>
                <w:rFonts w:ascii="Calibri" w:hAnsi="Calibri"/>
                <w:sz w:val="22"/>
              </w:rPr>
              <w:t>Job market increasingly supportive</w:t>
            </w:r>
          </w:p>
        </w:tc>
        <w:tc>
          <w:tcPr>
            <w:tcW w:type="dxa" w:w="1440"/>
          </w:tcPr>
          <w:p>
            <w:r>
              <w:rPr>
                <w:rFonts w:ascii="Calibri" w:hAnsi="Calibri"/>
                <w:sz w:val="22"/>
              </w:rPr>
              <w:t>Healthier demand environment</w:t>
            </w:r>
          </w:p>
        </w:tc>
        <w:tc>
          <w:tcPr>
            <w:tcW w:type="dxa" w:w="1440"/>
          </w:tcPr>
          <w:p>
            <w:r>
              <w:rPr>
                <w:rFonts w:ascii="Calibri" w:hAnsi="Calibri"/>
                <w:b/>
                <w:color w:val="30A46C"/>
                <w:sz w:val="22"/>
              </w:rPr>
              <w:t>Positive — corporate relocation tailwind confirmed</w:t>
            </w:r>
          </w:p>
        </w:tc>
      </w:tr>
      <w:tr>
        <w:tc>
          <w:tcPr>
            <w:tcW w:type="dxa" w:w="1440"/>
          </w:tcPr>
          <w:p>
            <w:r>
              <w:rPr>
                <w:rFonts w:ascii="Calibri" w:hAnsi="Calibri"/>
                <w:sz w:val="22"/>
              </w:rPr>
              <w:t>Guidance direction</w:t>
            </w:r>
          </w:p>
        </w:tc>
        <w:tc>
          <w:tcPr>
            <w:tcW w:type="dxa" w:w="1440"/>
          </w:tcPr>
          <w:p>
            <w:r>
              <w:rPr>
                <w:rFonts w:ascii="Calibri" w:hAnsi="Calibri"/>
                <w:sz w:val="22"/>
              </w:rPr>
              <w:t>FY reaffirmed; H2 recovery expected</w:t>
            </w:r>
          </w:p>
        </w:tc>
        <w:tc>
          <w:tcPr>
            <w:tcW w:type="dxa" w:w="1440"/>
          </w:tcPr>
          <w:p>
            <w:r>
              <w:rPr>
                <w:rFonts w:ascii="Calibri" w:hAnsi="Calibri"/>
                <w:sz w:val="22"/>
              </w:rPr>
              <w:t>N/A (Q2 reporting)</w:t>
            </w:r>
          </w:p>
        </w:tc>
        <w:tc>
          <w:tcPr>
            <w:tcW w:type="dxa" w:w="1440"/>
          </w:tcPr>
          <w:p>
            <w:r>
              <w:rPr>
                <w:rFonts w:ascii="Calibri" w:hAnsi="Calibri"/>
                <w:sz w:val="22"/>
              </w:rPr>
              <w:t>SS revenue &amp; NOI guidance raised</w:t>
            </w:r>
          </w:p>
        </w:tc>
        <w:tc>
          <w:tcPr>
            <w:tcW w:type="dxa" w:w="1440"/>
          </w:tcPr>
          <w:p>
            <w:r>
              <w:rPr>
                <w:rFonts w:ascii="Calibri" w:hAnsi="Calibri"/>
                <w:sz w:val="22"/>
              </w:rPr>
              <w:t>SS NOI guidance raised</w:t>
            </w:r>
          </w:p>
        </w:tc>
        <w:tc>
          <w:tcPr>
            <w:tcW w:type="dxa" w:w="1440"/>
          </w:tcPr>
          <w:p>
            <w:r>
              <w:rPr>
                <w:rFonts w:ascii="Calibri" w:hAnsi="Calibri"/>
                <w:b/>
                <w:color w:val="30A46C"/>
                <w:sz w:val="22"/>
              </w:rPr>
              <w:t>Positive — peers raising guidance is a constructive backdrop for MAA</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Nareit conference read-through confirming May leasing data at a two-year high — a direct positive signal for Q2 results; the $350M term loan adds balance sheet flexibility for the development pipeline and debt refinancing.</w:t>
      </w:r>
    </w:p>
    <w:p>
      <w:pPr>
        <w:pStyle w:val="ListBullet"/>
        <w:ind w:left="360" w:hanging="360"/>
      </w:pPr>
      <w:r>
        <w:rPr>
          <w:rFonts w:ascii="Calibri" w:hAnsi="Calibri"/>
          <w:b/>
          <w:color w:val="525866"/>
          <w:sz w:val="22"/>
        </w:rPr>
        <w:t xml:space="preserve">June 2–4, 2026 — Nareit REITweek Conference (Most Important): </w:t>
      </w:r>
      <w:r>
        <w:rPr>
          <w:rFonts w:ascii="Calibri" w:hAnsi="Calibri"/>
          <w:color w:val="525866"/>
          <w:sz w:val="22"/>
        </w:rPr>
        <w:t xml:space="preserve">Management reported May blended lease-over-lease rates at the highest level in nearly two years, with new lease rates up even more sharply and rent traction continuing — unlike the mid-May 2025 stall. Market-level occupancies back to pre-supply-impact historical averages; concession usage beginning to decline in select markets. Management expressed greater optimism than at the 2025 Nareit conference. Deliveries now down ~40% from last year and ~60% from two years ago; trailing 12-month starts well below long-term averages.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positive forward signal since Q1 earnings; directly supports Q2 blended lease rate beat vs. consensus.</w:t>
      </w:r>
    </w:p>
    <w:p>
      <w:pPr>
        <w:pStyle w:val="ListBullet"/>
        <w:ind w:left="360" w:hanging="360"/>
      </w:pPr>
      <w:r>
        <w:rPr>
          <w:rFonts w:ascii="Calibri" w:hAnsi="Calibri"/>
          <w:b/>
          <w:color w:val="525866"/>
          <w:sz w:val="22"/>
        </w:rPr>
        <w:t xml:space="preserve">June 25, 2026 — $350M Unsecured Delayed Draw Term Loan (8-K): </w:t>
      </w:r>
      <w:r>
        <w:rPr>
          <w:rFonts w:ascii="Calibri" w:hAnsi="Calibri"/>
          <w:color w:val="525866"/>
          <w:sz w:val="22"/>
        </w:rPr>
        <w:t xml:space="preserve">MAA Operating Partnership secured a $350M unsecured delayed draw term loan (DDTL) with KeyBank as administrative agent, maturing November 15, 2030. Proceeds intended for general corporate purposes including debt repayment. Up to 5 draws available through December 21, 2026; accordion feature allows expansion to $550M. Interest at SOFR + 0.675%–1.55% (credit-rating dependent). </w:t>
      </w:r>
    </w:p>
    <w:p>
      <w:pPr>
        <w:pStyle w:val="ListBullet"/>
        <w:ind w:left="360" w:hanging="360"/>
      </w:pPr>
      <w:r>
        <w:rPr>
          <w:rFonts w:ascii="Calibri" w:hAnsi="Calibri"/>
          <w:b/>
          <w:color w:val="525866"/>
          <w:sz w:val="22"/>
        </w:rPr>
        <w:t xml:space="preserve">Implication: </w:t>
      </w:r>
      <w:r>
        <w:rPr>
          <w:rFonts w:ascii="Calibri" w:hAnsi="Calibri"/>
          <w:color w:val="525866"/>
          <w:sz w:val="22"/>
        </w:rPr>
        <w:t>Provides liquidity for development pipeline funding and upcoming debt maturities; modestly dilutive to near-term Core FFO via higher interest expense but supports long-term growth strategy.</w:t>
      </w:r>
    </w:p>
    <w:p>
      <w:pPr>
        <w:pStyle w:val="ListBullet"/>
        <w:ind w:left="360" w:hanging="360"/>
      </w:pPr>
      <w:r>
        <w:rPr>
          <w:rFonts w:ascii="Calibri" w:hAnsi="Calibri"/>
          <w:b/>
          <w:color w:val="525866"/>
          <w:sz w:val="22"/>
        </w:rPr>
        <w:t xml:space="preserve">July 1, 2026 — Q2 2026 Earnings Date Announcement: </w:t>
      </w:r>
      <w:r>
        <w:rPr>
          <w:rFonts w:ascii="Calibri" w:hAnsi="Calibri"/>
          <w:color w:val="525866"/>
          <w:sz w:val="22"/>
        </w:rPr>
        <w:t>MAA announced the date of its Q2 2026 earnings release and conference call. Specific date not yet disclosed in available documents.</w:t>
      </w:r>
    </w:p>
    <w:p>
      <w:pPr>
        <w:pStyle w:val="ListBullet"/>
        <w:ind w:left="360" w:hanging="360"/>
      </w:pPr>
      <w:r>
        <w:rPr>
          <w:rFonts w:ascii="Calibri" w:hAnsi="Calibri"/>
          <w:b/>
          <w:color w:val="525866"/>
          <w:sz w:val="22"/>
        </w:rPr>
        <w:t xml:space="preserve">May 4, 2026 — Capital Markets Strategy Investor Presentation (8-K): </w:t>
      </w:r>
      <w:r>
        <w:rPr>
          <w:rFonts w:ascii="Calibri" w:hAnsi="Calibri"/>
          <w:color w:val="525866"/>
          <w:sz w:val="22"/>
        </w:rPr>
        <w:t xml:space="preserve">MAA filed an investor presentation covering capital markets strategy, reaffirming FY 2026 Core FFO guidance midpoint of $8.53 ($8.37–$8.69 range), same-store revenue growth midpoint of +0.55%, and same-store NOI growth midpoint of -0.70%. Development pipeline expected to be maintained at ~$1 billion; new starts targeting 6.0%–6.5% stabilized NOI yields. </w:t>
      </w:r>
    </w:p>
    <w:p>
      <w:pPr>
        <w:pStyle w:val="ListBullet"/>
        <w:ind w:left="360" w:hanging="360"/>
      </w:pPr>
      <w:r>
        <w:rPr>
          <w:rFonts w:ascii="Calibri" w:hAnsi="Calibri"/>
          <w:b/>
          <w:color w:val="525866"/>
          <w:sz w:val="22"/>
        </w:rPr>
        <w:t xml:space="preserve">Implication: </w:t>
      </w:r>
      <w:r>
        <w:rPr>
          <w:rFonts w:ascii="Calibri" w:hAnsi="Calibri"/>
          <w:color w:val="525866"/>
          <w:sz w:val="22"/>
        </w:rPr>
        <w:t>Confirmed guidance unchanged post-Q1 print; development pipeline discipline and yield targets reiterated.</w:t>
      </w:r>
    </w:p>
    <w:p>
      <w:pPr>
        <w:pStyle w:val="ListBullet"/>
        <w:ind w:left="360" w:hanging="360"/>
      </w:pPr>
      <w:r>
        <w:rPr>
          <w:rFonts w:ascii="Calibri" w:hAnsi="Calibri"/>
          <w:b/>
          <w:color w:val="525866"/>
          <w:sz w:val="22"/>
        </w:rPr>
        <w:t xml:space="preserve">April 29–30, 2026 — Q1 2026 Earnings (Baseline): </w:t>
      </w:r>
      <w:r>
        <w:rPr>
          <w:rFonts w:ascii="Calibri" w:hAnsi="Calibri"/>
          <w:color w:val="525866"/>
          <w:sz w:val="22"/>
        </w:rPr>
        <w:t xml:space="preserve">Core FFO of $2.13/share beat guidance midpoint by $0.02; same-store NOI beat driven by expense favorability; same-store revenue in-line. FY 2026 Core FFO guidance midpoint reaffirmed at $8.53; range tightened. Q2 2026 Core FFO guided to $2.00–$2.12 (midpoint $2.06). Blended lease-over-lease improved 140 bps sequentially from Q4 2025; five consecutive quarters of YoY blended lease improvement. April occupancy 95.5%, 60-day exposure 8.3% (20 bps better than April 2025). </w:t>
      </w:r>
    </w:p>
    <w:p>
      <w:pPr>
        <w:pStyle w:val="ListBullet"/>
        <w:ind w:left="360" w:hanging="360"/>
      </w:pPr>
      <w:r>
        <w:rPr>
          <w:rFonts w:ascii="Calibri" w:hAnsi="Calibri"/>
          <w:b/>
          <w:color w:val="525866"/>
          <w:sz w:val="22"/>
        </w:rPr>
        <w:t xml:space="preserve">Implication: </w:t>
      </w:r>
      <w:r>
        <w:rPr>
          <w:rFonts w:ascii="Calibri" w:hAnsi="Calibri"/>
          <w:color w:val="525866"/>
          <w:sz w:val="22"/>
        </w:rPr>
        <w:t>Set a constructive baseline; expense discipline and occupancy stability are the key earnings levers heading into Q2.</w:t>
      </w:r>
    </w:p>
    <w:p>
      <w:pPr>
        <w:pStyle w:val="ListBullet"/>
        <w:ind w:left="360" w:hanging="360"/>
      </w:pPr>
      <w:r>
        <w:rPr>
          <w:rFonts w:ascii="Calibri" w:hAnsi="Calibri"/>
          <w:b/>
          <w:color w:val="525866"/>
          <w:sz w:val="22"/>
        </w:rPr>
        <w:t xml:space="preserve">Peer Earnings Read-Throughs (July 22–28, 2026): </w:t>
      </w:r>
      <w:r>
        <w:rPr>
          <w:rFonts w:ascii="Calibri" w:hAnsi="Calibri"/>
          <w:color w:val="525866"/>
          <w:sz w:val="22"/>
        </w:rPr>
        <w:t xml:space="preserve">UDR (Q2 2026, July 28), EQR (Q2 2026, July 22), and AVB (Q2 2026, July 23) all reported results confirming improving supply/demand dynamics, with EQR and AVB raising same-store NOI guidance. UDR's Sunbelt data (new leases -7% to -7.5% in Q2, improving to -5.5% to -6% in July) provides the most direct read-through for MAA's Sunbelt-heavy portfolio. See Section 6 for detailed commentary. </w:t>
      </w:r>
    </w:p>
    <w:p>
      <w:pPr>
        <w:pStyle w:val="ListBullet"/>
        <w:ind w:left="360" w:hanging="360"/>
      </w:pPr>
      <w:r>
        <w:rPr>
          <w:rFonts w:ascii="Calibri" w:hAnsi="Calibri"/>
          <w:b/>
          <w:color w:val="525866"/>
          <w:sz w:val="22"/>
        </w:rPr>
        <w:t xml:space="preserve">Implication: </w:t>
      </w:r>
      <w:r>
        <w:rPr>
          <w:rFonts w:ascii="Calibri" w:hAnsi="Calibri"/>
          <w:color w:val="525866"/>
          <w:sz w:val="22"/>
        </w:rPr>
        <w:t>Broadly constructive for MAA; new lease rates still negative in Sunbelt but improving trajectory confirmed.</w:t>
      </w:r>
    </w:p>
    <w:p>
      <w:pPr>
        <w:pStyle w:val="ListBullet"/>
        <w:ind w:left="360" w:hanging="360"/>
      </w:pPr>
      <w:r>
        <w:rPr>
          <w:rFonts w:ascii="Calibri" w:hAnsi="Calibri"/>
          <w:b/>
          <w:color w:val="525866"/>
          <w:sz w:val="22"/>
        </w:rPr>
        <w:t xml:space="preserve">January 28, 2026 — $53M Rental Price-Fixing Lawsuit Settlement (8-K): </w:t>
      </w:r>
      <w:r>
        <w:rPr>
          <w:rFonts w:ascii="Calibri" w:hAnsi="Calibri"/>
          <w:color w:val="525866"/>
          <w:sz w:val="22"/>
        </w:rPr>
        <w:t xml:space="preserve">MAA agreed to a $53M settlement in a rental price-fixing lawsuit. Management noted the settlement was funded via incremental borrowings, contributing to higher Q2 2026 interest expense vs. Q1. </w:t>
      </w:r>
    </w:p>
    <w:p>
      <w:pPr>
        <w:pStyle w:val="ListBullet"/>
        <w:ind w:left="360" w:hanging="360"/>
      </w:pPr>
      <w:r>
        <w:rPr>
          <w:rFonts w:ascii="Calibri" w:hAnsi="Calibri"/>
          <w:b/>
          <w:color w:val="525866"/>
          <w:sz w:val="22"/>
        </w:rPr>
        <w:t xml:space="preserve">Implication: </w:t>
      </w:r>
      <w:r>
        <w:rPr>
          <w:rFonts w:ascii="Calibri" w:hAnsi="Calibri"/>
          <w:color w:val="525866"/>
          <w:sz w:val="22"/>
        </w:rPr>
        <w:t>One-time cash outflow; modestly dilutive to Q2 Core FFO via higher interest expense (already reflected in Q2 guidance).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open-market transaction of note is a small discretionary sale by EVP Investments James Barton French (350 shares, ~$45K) in early May — not a meaningful signal. The cluster of director stock award grants in mid-May reflects routine annual compensation, not discretionary buying or selling.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French, James Barton</w:t>
            </w:r>
          </w:p>
        </w:tc>
        <w:tc>
          <w:tcPr>
            <w:tcW w:type="dxa" w:w="1440"/>
          </w:tcPr>
          <w:p>
            <w:r>
              <w:rPr>
                <w:rFonts w:ascii="Calibri" w:hAnsi="Calibri"/>
                <w:sz w:val="22"/>
              </w:rPr>
              <w:t>EVP Investments</w:t>
            </w:r>
          </w:p>
        </w:tc>
        <w:tc>
          <w:tcPr>
            <w:tcW w:type="dxa" w:w="1440"/>
          </w:tcPr>
          <w:p>
            <w:r>
              <w:rPr>
                <w:rFonts w:ascii="Calibri" w:hAnsi="Calibri"/>
                <w:sz w:val="22"/>
              </w:rPr>
              <w:t>Open Market Sale</w:t>
            </w:r>
          </w:p>
        </w:tc>
        <w:tc>
          <w:tcPr>
            <w:tcW w:type="dxa" w:w="1440"/>
          </w:tcPr>
          <w:p>
            <w:r>
              <w:rPr>
                <w:rFonts w:ascii="Calibri" w:hAnsi="Calibri"/>
                <w:sz w:val="22"/>
              </w:rPr>
              <w:t>350 shares</w:t>
            </w:r>
          </w:p>
        </w:tc>
        <w:tc>
          <w:tcPr>
            <w:tcW w:type="dxa" w:w="1440"/>
          </w:tcPr>
          <w:p>
            <w:r>
              <w:rPr>
                <w:rFonts w:ascii="Calibri" w:hAnsi="Calibri"/>
                <w:sz w:val="22"/>
              </w:rPr>
              <w:t>May 8, 2026</w:t>
            </w:r>
          </w:p>
        </w:tc>
        <w:tc>
          <w:tcPr>
            <w:tcW w:type="dxa" w:w="1440"/>
          </w:tcPr>
          <w:p>
            <w:r>
              <w:rPr>
                <w:rFonts w:ascii="Calibri" w:hAnsi="Calibri"/>
                <w:sz w:val="22"/>
              </w:rPr>
              <w:t>Discretionary sale; small size (~$45K at ~$129/share); not on 10b5-1 plan per filing</w:t>
            </w:r>
          </w:p>
        </w:tc>
      </w:tr>
      <w:tr>
        <w:tc>
          <w:tcPr>
            <w:tcW w:type="dxa" w:w="1440"/>
          </w:tcPr>
          <w:p>
            <w:r>
              <w:rPr>
                <w:rFonts w:ascii="Calibri" w:hAnsi="Calibri"/>
                <w:sz w:val="22"/>
              </w:rPr>
              <w:t>Fischer, Tamara D.</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1,100 shares</w:t>
            </w:r>
          </w:p>
        </w:tc>
        <w:tc>
          <w:tcPr>
            <w:tcW w:type="dxa" w:w="1440"/>
          </w:tcPr>
          <w:p>
            <w:r>
              <w:rPr>
                <w:rFonts w:ascii="Calibri" w:hAnsi="Calibri"/>
                <w:sz w:val="22"/>
              </w:rPr>
              <w:t>May 21, 2026</w:t>
            </w:r>
          </w:p>
        </w:tc>
        <w:tc>
          <w:tcPr>
            <w:tcW w:type="dxa" w:w="1440"/>
          </w:tcPr>
          <w:p>
            <w:r>
              <w:rPr>
                <w:rFonts w:ascii="Calibri" w:hAnsi="Calibri"/>
                <w:sz w:val="22"/>
              </w:rPr>
              <w:t>Open market purchase; ~$143K at ~$130/share; notable as a discretionary buy by a director</w:t>
            </w:r>
          </w:p>
        </w:tc>
      </w:tr>
      <w:tr>
        <w:tc>
          <w:tcPr>
            <w:tcW w:type="dxa" w:w="1440"/>
          </w:tcPr>
          <w:p>
            <w:r>
              <w:rPr>
                <w:rFonts w:ascii="Calibri" w:hAnsi="Calibri"/>
                <w:sz w:val="22"/>
              </w:rPr>
              <w:t>Caplan, Deborah H.</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1,401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(Code A); not a discretionary transaction</w:t>
            </w:r>
          </w:p>
        </w:tc>
      </w:tr>
      <w:tr>
        <w:tc>
          <w:tcPr>
            <w:tcW w:type="dxa" w:w="1440"/>
          </w:tcPr>
          <w:p>
            <w:r>
              <w:rPr>
                <w:rFonts w:ascii="Calibri" w:hAnsi="Calibri"/>
                <w:sz w:val="22"/>
              </w:rPr>
              <w:t>Case, John</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1,451 phantom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(phantom stock); not a discretionary transaction</w:t>
            </w:r>
          </w:p>
        </w:tc>
      </w:tr>
      <w:tr>
        <w:tc>
          <w:tcPr>
            <w:tcW w:type="dxa" w:w="1440"/>
          </w:tcPr>
          <w:p>
            <w:r>
              <w:rPr>
                <w:rFonts w:ascii="Calibri" w:hAnsi="Calibri"/>
                <w:sz w:val="22"/>
              </w:rPr>
              <w:t>Graf, Alan B. Jr.</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1,401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not a discretionary transaction</w:t>
            </w:r>
          </w:p>
        </w:tc>
      </w:tr>
      <w:tr>
        <w:tc>
          <w:tcPr>
            <w:tcW w:type="dxa" w:w="1440"/>
          </w:tcPr>
          <w:p>
            <w:r>
              <w:rPr>
                <w:rFonts w:ascii="Calibri" w:hAnsi="Calibri"/>
                <w:sz w:val="22"/>
              </w:rPr>
              <w:t>Kelly Green, Edith</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1,608 phantom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(phantom stock); not a discretionary transaction</w:t>
            </w:r>
          </w:p>
        </w:tc>
      </w:tr>
      <w:tr>
        <w:tc>
          <w:tcPr>
            <w:tcW w:type="dxa" w:w="1440"/>
          </w:tcPr>
          <w:p>
            <w:r>
              <w:rPr>
                <w:rFonts w:ascii="Calibri" w:hAnsi="Calibri"/>
                <w:sz w:val="22"/>
              </w:rPr>
              <w:t>McGrath, Sheila K.</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1,401 phantom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(phantom stock); not a discretionary transaction</w:t>
            </w:r>
          </w:p>
        </w:tc>
      </w:tr>
      <w:tr>
        <w:tc>
          <w:tcPr>
            <w:tcW w:type="dxa" w:w="1440"/>
          </w:tcPr>
          <w:p>
            <w:r>
              <w:rPr>
                <w:rFonts w:ascii="Calibri" w:hAnsi="Calibri"/>
                <w:sz w:val="22"/>
              </w:rPr>
              <w:t>Stockert, David P.</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1,401 phantom shares</w:t>
            </w:r>
          </w:p>
        </w:tc>
        <w:tc>
          <w:tcPr>
            <w:tcW w:type="dxa" w:w="1440"/>
          </w:tcPr>
          <w:p>
            <w:r>
              <w:rPr>
                <w:rFonts w:ascii="Calibri" w:hAnsi="Calibri"/>
                <w:sz w:val="22"/>
              </w:rPr>
              <w:t>May 19–20, 2026</w:t>
            </w:r>
          </w:p>
        </w:tc>
        <w:tc>
          <w:tcPr>
            <w:tcW w:type="dxa" w:w="1440"/>
          </w:tcPr>
          <w:p>
            <w:r>
              <w:rPr>
                <w:rFonts w:ascii="Calibri" w:hAnsi="Calibri"/>
                <w:sz w:val="22"/>
              </w:rPr>
              <w:t>Annual director compensation grant (phantom stock); not a discretionary transaction</w:t>
            </w:r>
          </w:p>
        </w:tc>
      </w:tr>
    </w:tbl>
    <w:p>
      <w:r>
        <w:rPr>
          <w:rFonts w:ascii="Calibri" w:hAnsi="Calibri"/>
          <w:color w:val="525866"/>
          <w:sz w:val="22"/>
        </w:rPr>
        <w:t>The most notable transaction is Director Tamara D. Fischer's open-market purchase of 1,100 shares (~$143K) on May 21, 2026 — a discretionary buy at ~$130/share that represents a modest positive signal. The EVP Investments sale of 350 shares is small and not on a 10b5-1 plan, but the size is immaterial. The cluster of director stock awards in mid-May reflects routine annual compensation grants and carries no informational signal. No C-suite (CEO/CFO/COO) open-market transactions were filed in the period.</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