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Mid-America Apartment Communities (MAA)</w:t>
      </w:r>
    </w:p>
    <w:p>
      <w:pPr>
        <w:pStyle w:val="Heading2"/>
      </w:pPr>
      <w:r>
        <w:rPr>
          <w:rFonts w:ascii="Calibri" w:hAnsi="Calibri"/>
          <w:b/>
          <w:color w:val="3B4259"/>
          <w:sz w:val="28"/>
        </w:rPr>
        <w:t>2Q 2026 Earnings Preview</w:t>
      </w:r>
    </w:p>
    <w:p>
      <w:r>
        <w:rPr>
          <w:rFonts w:ascii="Calibri" w:hAnsi="Calibri"/>
          <w:b/>
          <w:color w:val="525866"/>
          <w:sz w:val="22"/>
        </w:rPr>
        <w:t xml:space="preserve">Earnings Call: </w:t>
      </w:r>
      <w:r>
        <w:rPr>
          <w:rFonts w:ascii="Calibri" w:hAnsi="Calibri"/>
          <w:color w:val="525866"/>
          <w:sz w:val="22"/>
        </w:rPr>
        <w:t xml:space="preserve">July 30, 2026  </w:t>
      </w:r>
      <w:r>
        <w:rPr>
          <w:rFonts w:ascii="Calibri" w:hAnsi="Calibri"/>
          <w:b/>
          <w:color w:val="525866"/>
          <w:sz w:val="22"/>
        </w:rPr>
        <w:t xml:space="preserve">  |  Prepared: </w:t>
      </w:r>
      <w:r>
        <w:rPr>
          <w:rFonts w:ascii="Calibri" w:hAnsi="Calibri"/>
          <w:color w:val="525866"/>
          <w:sz w:val="22"/>
        </w:rPr>
        <w:t xml:space="preserve">July 29, 2026  </w:t>
      </w:r>
      <w:r>
        <w:rPr>
          <w:rFonts w:ascii="Calibri" w:hAnsi="Calibri"/>
          <w:b/>
          <w:color w:val="525866"/>
          <w:sz w:val="22"/>
        </w:rPr>
        <w:t xml:space="preserve">  |  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Core FFO of $2.08 sits above the $2.06 guidance midpoint, but the real swing factor is whether blended lease-over-lease pricing, which management reported at a near two-year high in May, held through June and whether new lease momentum avoided the mid-season stall that derailed 2025.</w:t>
      </w:r>
    </w:p>
    <w:p>
      <w:r>
        <w:rPr>
          <w:rFonts w:ascii="Calibri" w:hAnsi="Calibri"/>
          <w:color w:val="525866"/>
          <w:sz w:val="22"/>
        </w:rPr>
        <w:t xml:space="preserve">Heading into the 2Q26 print, the bar is manageable: consensus Core FFO of ~$2.08 per diluted share sits modestly above the $2.06 guidance midpoint, and management's own May Nareit commentary — blended lease rates up ~140 bps from Q1, new lease rates up ~240 bps, and average blended pricing at the highest level in nearly two years — suggests the revenue trajectory is tracking at or above plan. </w:t>
      </w:r>
      <w:r>
        <w:rPr>
          <w:rFonts w:ascii="Calibri" w:hAnsi="Calibri"/>
          <w:color w:val="525866"/>
          <w:sz w:val="22"/>
        </w:rPr>
        <w:t xml:space="preserve">The critical distinction from 2025 is that management explicitly flagged the absence of the mid-May stall that disrupted last year's leasing season, and market-level occupancies have normalized back to pre-supply-impact historical averages while concession usage has begun to decline in select markets. </w:t>
      </w:r>
      <w:r>
        <w:rPr>
          <w:rFonts w:ascii="Calibri" w:hAnsi="Calibri"/>
          <w:color w:val="525866"/>
          <w:sz w:val="22"/>
        </w:rPr>
        <w:t xml:space="preserve">Estimate revisions have drifted modestly lower since Q1 earnings (FY26 Core FFO consensus slipped from ~$8.48 to ~$8.50 range), suggesting the street has not yet fully priced in the improving leasing data, which creates a potential positive surprise on blended lease rates and same-store NOI. </w:t>
      </w:r>
      <w:r>
        <w:rPr>
          <w:rFonts w:ascii="Calibri" w:hAnsi="Calibri"/>
          <w:color w:val="525866"/>
          <w:sz w:val="22"/>
        </w:rPr>
        <w:t xml:space="preserve">The stock has recovered ~+4.6% since the April 29 print but still trades at a meaningful discount to private market cap rates (mid-to-high 5% implied vs. sub-5% private), leaving room for multiple re-rating if the print confirms the recovery thesis. </w:t>
      </w:r>
      <w:r>
        <w:rPr>
          <w:rFonts w:ascii="Calibri" w:hAnsi="Calibri"/>
          <w:color w:val="525866"/>
          <w:sz w:val="22"/>
        </w:rPr>
        <w:t>The key wildcard is whether the $300M bond maturity due in September and the new $350M DDTL facility (drawn for general corporate purposes) introduce any incremental interest expense surprise relative to the Q2 guidance bridge, and whether Charlotte and Austin — the two laggard markets — showed any incremental deterioration that could temper the full-year NOI outlook.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low-to-moderate bar on Core FFO ($2.08 vs. $2.06 guidance midpoint), but the bigger swing factor is blended lease-over-lease pricing — consensus at +0.87% for 2Q26 vs. the -0.3% reported in 1Q26, a step-up that management's May commentary suggests is achievable but not yet confirmed for June.</w:t>
      </w:r>
    </w:p>
    <w:p>
      <w:pPr>
        <w:pStyle w:val="Heading3"/>
      </w:pPr>
      <w:r>
        <w:rPr>
          <w:rFonts w:ascii="Calibri" w:hAnsi="Calibri"/>
          <w:b/>
          <w:color w:val="3B4259"/>
          <w:sz w:val="24"/>
        </w:rPr>
        <w:t>Table 1 — Current Quarter Snapshot (2Q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 2026 Actual</w:t>
            </w:r>
          </w:p>
        </w:tc>
        <w:tc>
          <w:tcPr>
            <w:tcW w:type="dxa" w:w="1234"/>
            <w:shd w:val="clear" w:color="auto" w:fill="3B4259"/>
          </w:tcPr>
          <w:p>
            <w:r>
              <w:rPr>
                <w:rFonts w:ascii="Calibri" w:hAnsi="Calibri"/>
                <w:b/>
                <w:color w:val="FFFFFF"/>
                <w:sz w:val="22"/>
              </w:rPr>
              <w:t>2Q 2025 Actual</w:t>
            </w:r>
          </w:p>
        </w:tc>
        <w:tc>
          <w:tcPr>
            <w:tcW w:type="dxa" w:w="1234"/>
            <w:shd w:val="clear" w:color="auto" w:fill="3B4259"/>
          </w:tcPr>
          <w:p>
            <w:r>
              <w:rPr>
                <w:rFonts w:ascii="Calibri" w:hAnsi="Calibri"/>
                <w:b/>
                <w:color w:val="FFFFFF"/>
                <w:sz w:val="22"/>
              </w:rPr>
              <w:t>2Q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2Q 2026 Guidance</w:t>
            </w:r>
          </w:p>
        </w:tc>
        <w:tc>
          <w:tcPr>
            <w:tcW w:type="dxa" w:w="1234"/>
            <w:shd w:val="clear" w:color="auto" w:fill="3B4259"/>
          </w:tcPr>
          <w:p>
            <w:r>
              <w:rPr>
                <w:rFonts w:ascii="Calibri" w:hAnsi="Calibri"/>
                <w:b/>
                <w:color w:val="FFFFFF"/>
                <w:sz w:val="22"/>
              </w:rPr>
              <w:t>Cons. vs. Guidance Mid</w:t>
            </w:r>
          </w:p>
        </w:tc>
      </w:tr>
      <w:tr>
        <w:tc>
          <w:tcPr>
            <w:tcW w:type="dxa" w:w="1234"/>
          </w:tcPr>
          <w:p>
            <w:r>
              <w:rPr>
                <w:rFonts w:ascii="Calibri" w:hAnsi="Calibri"/>
                <w:sz w:val="22"/>
              </w:rPr>
              <w:t>Core FFO per Share — Diluted ($)</w:t>
            </w:r>
          </w:p>
        </w:tc>
        <w:tc>
          <w:tcPr>
            <w:tcW w:type="dxa" w:w="1234"/>
          </w:tcPr>
          <w:p>
            <w:r>
              <w:rPr>
                <w:rFonts w:ascii="Calibri" w:hAnsi="Calibri"/>
                <w:sz w:val="22"/>
              </w:rPr>
              <w:t>$2.13</w:t>
            </w:r>
          </w:p>
        </w:tc>
        <w:tc>
          <w:tcPr>
            <w:tcW w:type="dxa" w:w="1234"/>
          </w:tcPr>
          <w:p>
            <w:r>
              <w:rPr>
                <w:rFonts w:ascii="Calibri" w:hAnsi="Calibri"/>
                <w:sz w:val="22"/>
              </w:rPr>
              <w:t>$2.15</w:t>
            </w:r>
          </w:p>
        </w:tc>
        <w:tc>
          <w:tcPr>
            <w:tcW w:type="dxa" w:w="1234"/>
          </w:tcPr>
          <w:p>
            <w:r>
              <w:rPr>
                <w:rFonts w:ascii="Calibri" w:hAnsi="Calibri"/>
                <w:sz w:val="22"/>
              </w:rPr>
              <w:t>$2.08</w:t>
            </w:r>
          </w:p>
        </w:tc>
        <w:tc>
          <w:tcPr>
            <w:tcW w:type="dxa" w:w="1234"/>
          </w:tcPr>
          <w:p>
            <w:r>
              <w:rPr>
                <w:rFonts w:ascii="Calibri" w:hAnsi="Calibri"/>
                <w:sz w:val="22"/>
              </w:rPr>
              <w:t>-3.3%</w:t>
            </w:r>
          </w:p>
        </w:tc>
        <w:tc>
          <w:tcPr>
            <w:tcW w:type="dxa" w:w="1234"/>
          </w:tcPr>
          <w:p>
            <w:r>
              <w:rPr>
                <w:rFonts w:ascii="Calibri" w:hAnsi="Calibri"/>
                <w:sz w:val="22"/>
              </w:rPr>
              <w:t>$2.00–$2.12 ($2.06 mid)</w:t>
            </w:r>
          </w:p>
        </w:tc>
        <w:tc>
          <w:tcPr>
            <w:tcW w:type="dxa" w:w="1234"/>
          </w:tcPr>
          <w:p>
            <w:r>
              <w:rPr>
                <w:rFonts w:ascii="Calibri" w:hAnsi="Calibri"/>
                <w:b/>
                <w:color w:val="30A46C"/>
                <w:sz w:val="22"/>
              </w:rPr>
              <w:t>+$0.02 / +1.0%</w:t>
            </w:r>
          </w:p>
        </w:tc>
      </w:tr>
      <w:tr>
        <w:tc>
          <w:tcPr>
            <w:tcW w:type="dxa" w:w="1234"/>
          </w:tcPr>
          <w:p>
            <w:r>
              <w:rPr>
                <w:rFonts w:ascii="Calibri" w:hAnsi="Calibri"/>
                <w:sz w:val="22"/>
              </w:rPr>
              <w:t>Effective Blended Lease Rate — Same Store (%)</w:t>
            </w:r>
          </w:p>
        </w:tc>
        <w:tc>
          <w:tcPr>
            <w:tcW w:type="dxa" w:w="1234"/>
          </w:tcPr>
          <w:p>
            <w:r>
              <w:rPr>
                <w:rFonts w:ascii="Calibri" w:hAnsi="Calibri"/>
                <w:sz w:val="22"/>
              </w:rPr>
              <w:t>-0.3%</w:t>
            </w:r>
          </w:p>
        </w:tc>
        <w:tc>
          <w:tcPr>
            <w:tcW w:type="dxa" w:w="1234"/>
          </w:tcPr>
          <w:p>
            <w:r>
              <w:rPr>
                <w:rFonts w:ascii="Calibri" w:hAnsi="Calibri"/>
                <w:sz w:val="22"/>
              </w:rPr>
              <w:t>+0.5%</w:t>
            </w:r>
          </w:p>
        </w:tc>
        <w:tc>
          <w:tcPr>
            <w:tcW w:type="dxa" w:w="1234"/>
          </w:tcPr>
          <w:p>
            <w:r>
              <w:rPr>
                <w:rFonts w:ascii="Calibri" w:hAnsi="Calibri"/>
                <w:sz w:val="22"/>
              </w:rPr>
              <w:t>+0.87%</w:t>
            </w:r>
          </w:p>
        </w:tc>
        <w:tc>
          <w:tcPr>
            <w:tcW w:type="dxa" w:w="1234"/>
          </w:tcPr>
          <w:p>
            <w:r>
              <w:rPr>
                <w:rFonts w:ascii="Calibri" w:hAnsi="Calibri"/>
                <w:sz w:val="22"/>
              </w:rPr>
              <w:t>+37 bps YoY</w:t>
            </w:r>
          </w:p>
        </w:tc>
        <w:tc>
          <w:tcPr>
            <w:tcW w:type="dxa" w:w="1234"/>
          </w:tcPr>
          <w:p>
            <w:r>
              <w:rPr>
                <w:rFonts w:ascii="Calibri" w:hAnsi="Calibri"/>
                <w:sz w:val="22"/>
              </w:rPr>
              <w:t>1.0%–1.5% blended (FY)</w:t>
            </w:r>
          </w:p>
        </w:tc>
        <w:tc>
          <w:tcPr>
            <w:tcW w:type="dxa" w:w="1234"/>
          </w:tcPr>
          <w:p>
            <w:r>
              <w:rPr>
                <w:rFonts w:ascii="Calibri" w:hAnsi="Calibri"/>
                <w:sz w:val="22"/>
              </w:rPr>
              <w:t>N/A (FY guidance only)</w:t>
            </w:r>
          </w:p>
        </w:tc>
      </w:tr>
      <w:tr>
        <w:tc>
          <w:tcPr>
            <w:tcW w:type="dxa" w:w="1234"/>
          </w:tcPr>
          <w:p>
            <w:r>
              <w:rPr>
                <w:rFonts w:ascii="Calibri" w:hAnsi="Calibri"/>
                <w:sz w:val="22"/>
              </w:rPr>
              <w:t>Effective New Lease Rate — Same Store (%)</w:t>
            </w:r>
          </w:p>
        </w:tc>
        <w:tc>
          <w:tcPr>
            <w:tcW w:type="dxa" w:w="1234"/>
          </w:tcPr>
          <w:p>
            <w:r>
              <w:rPr>
                <w:rFonts w:ascii="Calibri" w:hAnsi="Calibri"/>
                <w:sz w:val="22"/>
              </w:rPr>
              <w:t>-7.0%</w:t>
            </w:r>
          </w:p>
        </w:tc>
        <w:tc>
          <w:tcPr>
            <w:tcW w:type="dxa" w:w="1234"/>
          </w:tcPr>
          <w:p>
            <w:r>
              <w:rPr>
                <w:rFonts w:ascii="Calibri" w:hAnsi="Calibri"/>
                <w:sz w:val="22"/>
              </w:rPr>
              <w:t>-4.8%</w:t>
            </w:r>
          </w:p>
        </w:tc>
        <w:tc>
          <w:tcPr>
            <w:tcW w:type="dxa" w:w="1234"/>
          </w:tcPr>
          <w:p>
            <w:r>
              <w:rPr>
                <w:rFonts w:ascii="Calibri" w:hAnsi="Calibri"/>
                <w:sz w:val="22"/>
              </w:rPr>
              <w:t>-4.97%</w:t>
            </w:r>
          </w:p>
        </w:tc>
        <w:tc>
          <w:tcPr>
            <w:tcW w:type="dxa" w:w="1234"/>
          </w:tcPr>
          <w:p>
            <w:r>
              <w:rPr>
                <w:rFonts w:ascii="Calibri" w:hAnsi="Calibri"/>
                <w:sz w:val="22"/>
              </w:rPr>
              <w:t>-17 bps YoY</w:t>
            </w:r>
          </w:p>
        </w:tc>
        <w:tc>
          <w:tcPr>
            <w:tcW w:type="dxa" w:w="1234"/>
          </w:tcPr>
          <w:p>
            <w:r>
              <w:rPr>
                <w:rFonts w:ascii="Calibri" w:hAnsi="Calibri"/>
                <w:sz w:val="22"/>
              </w:rPr>
              <w:t>N/A (FY guidance only)</w:t>
            </w:r>
          </w:p>
        </w:tc>
        <w:tc>
          <w:tcPr>
            <w:tcW w:type="dxa" w:w="1234"/>
          </w:tcPr>
          <w:p>
            <w:r>
              <w:rPr>
                <w:rFonts w:ascii="Calibri" w:hAnsi="Calibri"/>
                <w:sz w:val="22"/>
              </w:rPr>
              <w:t>N/A</w:t>
            </w:r>
          </w:p>
        </w:tc>
      </w:tr>
      <w:tr>
        <w:tc>
          <w:tcPr>
            <w:tcW w:type="dxa" w:w="1234"/>
          </w:tcPr>
          <w:p>
            <w:r>
              <w:rPr>
                <w:rFonts w:ascii="Calibri" w:hAnsi="Calibri"/>
                <w:sz w:val="22"/>
              </w:rPr>
              <w:t>Occupancy Rate — Same Store (%)</w:t>
            </w:r>
          </w:p>
        </w:tc>
        <w:tc>
          <w:tcPr>
            <w:tcW w:type="dxa" w:w="1234"/>
          </w:tcPr>
          <w:p>
            <w:r>
              <w:rPr>
                <w:rFonts w:ascii="Calibri" w:hAnsi="Calibri"/>
                <w:sz w:val="22"/>
              </w:rPr>
              <w:t>95.5%</w:t>
            </w:r>
          </w:p>
        </w:tc>
        <w:tc>
          <w:tcPr>
            <w:tcW w:type="dxa" w:w="1234"/>
          </w:tcPr>
          <w:p>
            <w:r>
              <w:rPr>
                <w:rFonts w:ascii="Calibri" w:hAnsi="Calibri"/>
                <w:sz w:val="22"/>
              </w:rPr>
              <w:t>95.4%</w:t>
            </w:r>
          </w:p>
        </w:tc>
        <w:tc>
          <w:tcPr>
            <w:tcW w:type="dxa" w:w="1234"/>
          </w:tcPr>
          <w:p>
            <w:r>
              <w:rPr>
                <w:rFonts w:ascii="Calibri" w:hAnsi="Calibri"/>
                <w:sz w:val="22"/>
              </w:rPr>
              <w:t>95.32%</w:t>
            </w:r>
          </w:p>
        </w:tc>
        <w:tc>
          <w:tcPr>
            <w:tcW w:type="dxa" w:w="1234"/>
          </w:tcPr>
          <w:p>
            <w:r>
              <w:rPr>
                <w:rFonts w:ascii="Calibri" w:hAnsi="Calibri"/>
                <w:sz w:val="22"/>
              </w:rPr>
              <w:t>-8 bps YoY</w:t>
            </w:r>
          </w:p>
        </w:tc>
        <w:tc>
          <w:tcPr>
            <w:tcW w:type="dxa" w:w="1234"/>
          </w:tcPr>
          <w:p>
            <w:r>
              <w:rPr>
                <w:rFonts w:ascii="Calibri" w:hAnsi="Calibri"/>
                <w:sz w:val="22"/>
              </w:rPr>
              <w:t>95.35%–95.85% (FY mid 95.60%)</w:t>
            </w:r>
          </w:p>
        </w:tc>
        <w:tc>
          <w:tcPr>
            <w:tcW w:type="dxa" w:w="1234"/>
          </w:tcPr>
          <w:p>
            <w:r>
              <w:rPr>
                <w:rFonts w:ascii="Calibri" w:hAnsi="Calibri"/>
                <w:sz w:val="22"/>
              </w:rPr>
              <w:t>In line</w:t>
            </w:r>
          </w:p>
        </w:tc>
      </w:tr>
      <w:tr>
        <w:tc>
          <w:tcPr>
            <w:tcW w:type="dxa" w:w="1234"/>
          </w:tcPr>
          <w:p>
            <w:r>
              <w:rPr>
                <w:rFonts w:ascii="Calibri" w:hAnsi="Calibri"/>
                <w:sz w:val="22"/>
              </w:rPr>
              <w:t>Same-Store NOI Growth YoY (%)</w:t>
            </w:r>
          </w:p>
        </w:tc>
        <w:tc>
          <w:tcPr>
            <w:tcW w:type="dxa" w:w="1234"/>
          </w:tcPr>
          <w:p>
            <w:r>
              <w:rPr>
                <w:rFonts w:ascii="Calibri" w:hAnsi="Calibri"/>
                <w:sz w:val="22"/>
              </w:rPr>
              <w:t>-1.3%</w:t>
            </w:r>
          </w:p>
        </w:tc>
        <w:tc>
          <w:tcPr>
            <w:tcW w:type="dxa" w:w="1234"/>
          </w:tcPr>
          <w:p>
            <w:r>
              <w:rPr>
                <w:rFonts w:ascii="Calibri" w:hAnsi="Calibri"/>
                <w:sz w:val="22"/>
              </w:rPr>
              <w:t>-2.6%</w:t>
            </w:r>
          </w:p>
        </w:tc>
        <w:tc>
          <w:tcPr>
            <w:tcW w:type="dxa" w:w="1234"/>
          </w:tcPr>
          <w:p>
            <w:r>
              <w:rPr>
                <w:rFonts w:ascii="Calibri" w:hAnsi="Calibri"/>
                <w:sz w:val="22"/>
              </w:rPr>
              <w:t>-1.53%</w:t>
            </w:r>
          </w:p>
        </w:tc>
        <w:tc>
          <w:tcPr>
            <w:tcW w:type="dxa" w:w="1234"/>
          </w:tcPr>
          <w:p>
            <w:r>
              <w:rPr>
                <w:rFonts w:ascii="Calibri" w:hAnsi="Calibri"/>
                <w:sz w:val="22"/>
              </w:rPr>
              <w:t>+107 bps YoY</w:t>
            </w:r>
          </w:p>
        </w:tc>
        <w:tc>
          <w:tcPr>
            <w:tcW w:type="dxa" w:w="1234"/>
          </w:tcPr>
          <w:p>
            <w:r>
              <w:rPr>
                <w:rFonts w:ascii="Calibri" w:hAnsi="Calibri"/>
                <w:sz w:val="22"/>
              </w:rPr>
              <w:t>-1.70% to +0.30% (FY mid -0.70%)</w:t>
            </w:r>
          </w:p>
        </w:tc>
        <w:tc>
          <w:tcPr>
            <w:tcW w:type="dxa" w:w="1234"/>
          </w:tcPr>
          <w:p>
            <w:r>
              <w:rPr>
                <w:rFonts w:ascii="Calibri" w:hAnsi="Calibri"/>
                <w:sz w:val="22"/>
              </w:rPr>
              <w:t>N/A (FY guidance only)</w:t>
            </w:r>
          </w:p>
        </w:tc>
      </w:tr>
      <w:tr>
        <w:tc>
          <w:tcPr>
            <w:tcW w:type="dxa" w:w="1234"/>
          </w:tcPr>
          <w:p>
            <w:r>
              <w:rPr>
                <w:rFonts w:ascii="Calibri" w:hAnsi="Calibri"/>
                <w:sz w:val="22"/>
              </w:rPr>
              <w:t>Same-Store Revenue Growth YoY (%)</w:t>
            </w:r>
          </w:p>
        </w:tc>
        <w:tc>
          <w:tcPr>
            <w:tcW w:type="dxa" w:w="1234"/>
          </w:tcPr>
          <w:p>
            <w:r>
              <w:rPr>
                <w:rFonts w:ascii="Calibri" w:hAnsi="Calibri"/>
                <w:sz w:val="22"/>
              </w:rPr>
              <w:t>-0.4%</w:t>
            </w:r>
          </w:p>
        </w:tc>
        <w:tc>
          <w:tcPr>
            <w:tcW w:type="dxa" w:w="1234"/>
          </w:tcPr>
          <w:p>
            <w:r>
              <w:rPr>
                <w:rFonts w:ascii="Calibri" w:hAnsi="Calibri"/>
                <w:sz w:val="22"/>
              </w:rPr>
              <w:t>-0.3%</w:t>
            </w:r>
          </w:p>
        </w:tc>
        <w:tc>
          <w:tcPr>
            <w:tcW w:type="dxa" w:w="1234"/>
          </w:tcPr>
          <w:p>
            <w:r>
              <w:rPr>
                <w:rFonts w:ascii="Calibri" w:hAnsi="Calibri"/>
                <w:sz w:val="22"/>
              </w:rPr>
              <w:t>~0.0%</w:t>
            </w:r>
          </w:p>
        </w:tc>
        <w:tc>
          <w:tcPr>
            <w:tcW w:type="dxa" w:w="1234"/>
          </w:tcPr>
          <w:p>
            <w:r>
              <w:rPr>
                <w:rFonts w:ascii="Calibri" w:hAnsi="Calibri"/>
                <w:sz w:val="22"/>
              </w:rPr>
              <w:t>+30 bps YoY</w:t>
            </w:r>
          </w:p>
        </w:tc>
        <w:tc>
          <w:tcPr>
            <w:tcW w:type="dxa" w:w="1234"/>
          </w:tcPr>
          <w:p>
            <w:r>
              <w:rPr>
                <w:rFonts w:ascii="Calibri" w:hAnsi="Calibri"/>
                <w:sz w:val="22"/>
              </w:rPr>
              <w:t>-0.20% to +1.30% (FY mid +0.55%)</w:t>
            </w:r>
          </w:p>
        </w:tc>
        <w:tc>
          <w:tcPr>
            <w:tcW w:type="dxa" w:w="1234"/>
          </w:tcPr>
          <w:p>
            <w:r>
              <w:rPr>
                <w:rFonts w:ascii="Calibri" w:hAnsi="Calibri"/>
                <w:sz w:val="22"/>
              </w:rPr>
              <w:t>N/A (FY guidance only)</w:t>
            </w:r>
          </w:p>
        </w:tc>
      </w:tr>
    </w:tbl>
    <w:p>
      <w:r>
        <w:rPr>
          <w:rFonts w:ascii="Calibri" w:hAnsi="Calibri"/>
          <w:i/>
          <w:color w:val="525866"/>
          <w:sz w:val="22"/>
        </w:rPr>
        <w:t>Sources: Visible Alpha consensus and actuals data. Core FFO consensus $2.08 vs. guidance midpoint $2.06 per Q1 2026 earnings release (April 29, 2026) and May 2026 Capital Markets Update. FY blended lease guidance of 1.0%–1.5% per Q1 2026 earnings call (April 30, 2026). Occupancy FY guidance per May 2026 Capital Markets Update.</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Core FFO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2.13</w:t>
            </w:r>
          </w:p>
        </w:tc>
        <w:tc>
          <w:tcPr>
            <w:tcW w:type="dxa" w:w="1728"/>
          </w:tcPr>
          <w:p>
            <w:r>
              <w:rPr>
                <w:rFonts w:ascii="Calibri" w:hAnsi="Calibri"/>
                <w:sz w:val="22"/>
              </w:rPr>
              <w:t>2.12</w:t>
            </w:r>
          </w:p>
        </w:tc>
        <w:tc>
          <w:tcPr>
            <w:tcW w:type="dxa" w:w="1728"/>
          </w:tcPr>
          <w:p>
            <w:r>
              <w:rPr>
                <w:rFonts w:ascii="Calibri" w:hAnsi="Calibri"/>
                <w:b/>
                <w:color w:val="30A46C"/>
                <w:sz w:val="22"/>
              </w:rPr>
              <w:t>+0.5%</w:t>
            </w:r>
          </w:p>
        </w:tc>
        <w:tc>
          <w:tcPr>
            <w:tcW w:type="dxa" w:w="1728"/>
          </w:tcPr>
          <w:p>
            <w:r>
              <w:rPr>
                <w:rFonts w:ascii="Calibri" w:hAnsi="Calibri"/>
                <w:sz w:val="22"/>
              </w:rPr>
              <w:t>Beat</w:t>
            </w:r>
          </w:p>
        </w:tc>
      </w:tr>
      <w:tr>
        <w:tc>
          <w:tcPr>
            <w:tcW w:type="dxa" w:w="1728"/>
          </w:tcPr>
          <w:p>
            <w:r>
              <w:rPr>
                <w:rFonts w:ascii="Calibri" w:hAnsi="Calibri"/>
                <w:sz w:val="22"/>
              </w:rPr>
              <w:t>4Q 2025</w:t>
            </w:r>
          </w:p>
        </w:tc>
        <w:tc>
          <w:tcPr>
            <w:tcW w:type="dxa" w:w="1728"/>
          </w:tcPr>
          <w:p>
            <w:r>
              <w:rPr>
                <w:rFonts w:ascii="Calibri" w:hAnsi="Calibri"/>
                <w:sz w:val="22"/>
              </w:rPr>
              <w:t>2.23</w:t>
            </w:r>
          </w:p>
        </w:tc>
        <w:tc>
          <w:tcPr>
            <w:tcW w:type="dxa" w:w="1728"/>
          </w:tcPr>
          <w:p>
            <w:r>
              <w:rPr>
                <w:rFonts w:ascii="Calibri" w:hAnsi="Calibri"/>
                <w:sz w:val="22"/>
              </w:rPr>
              <w:t>2.22</w:t>
            </w:r>
          </w:p>
        </w:tc>
        <w:tc>
          <w:tcPr>
            <w:tcW w:type="dxa" w:w="1728"/>
          </w:tcPr>
          <w:p>
            <w:r>
              <w:rPr>
                <w:rFonts w:ascii="Calibri" w:hAnsi="Calibri"/>
                <w:b/>
                <w:color w:val="30A46C"/>
                <w:sz w:val="22"/>
              </w:rPr>
              <w:t>+0.4%</w:t>
            </w:r>
          </w:p>
        </w:tc>
        <w:tc>
          <w:tcPr>
            <w:tcW w:type="dxa" w:w="1728"/>
          </w:tcPr>
          <w:p>
            <w:r>
              <w:rPr>
                <w:rFonts w:ascii="Calibri" w:hAnsi="Calibri"/>
                <w:sz w:val="22"/>
              </w:rPr>
              <w:t>Beat</w:t>
            </w:r>
          </w:p>
        </w:tc>
      </w:tr>
      <w:tr>
        <w:tc>
          <w:tcPr>
            <w:tcW w:type="dxa" w:w="1728"/>
          </w:tcPr>
          <w:p>
            <w:r>
              <w:rPr>
                <w:rFonts w:ascii="Calibri" w:hAnsi="Calibri"/>
                <w:sz w:val="22"/>
              </w:rPr>
              <w:t>3Q 2025</w:t>
            </w:r>
          </w:p>
        </w:tc>
        <w:tc>
          <w:tcPr>
            <w:tcW w:type="dxa" w:w="1728"/>
          </w:tcPr>
          <w:p>
            <w:r>
              <w:rPr>
                <w:rFonts w:ascii="Calibri" w:hAnsi="Calibri"/>
                <w:sz w:val="22"/>
              </w:rPr>
              <w:t>2.16</w:t>
            </w:r>
          </w:p>
        </w:tc>
        <w:tc>
          <w:tcPr>
            <w:tcW w:type="dxa" w:w="1728"/>
          </w:tcPr>
          <w:p>
            <w:r>
              <w:rPr>
                <w:rFonts w:ascii="Calibri" w:hAnsi="Calibri"/>
                <w:sz w:val="22"/>
              </w:rPr>
              <w:t>2.17</w:t>
            </w:r>
          </w:p>
        </w:tc>
        <w:tc>
          <w:tcPr>
            <w:tcW w:type="dxa" w:w="1728"/>
          </w:tcPr>
          <w:p>
            <w:r>
              <w:rPr>
                <w:rFonts w:ascii="Calibri" w:hAnsi="Calibri"/>
                <w:b/>
                <w:color w:val="E5484D"/>
                <w:sz w:val="22"/>
              </w:rPr>
              <w:t>-0.5%</w:t>
            </w:r>
          </w:p>
        </w:tc>
        <w:tc>
          <w:tcPr>
            <w:tcW w:type="dxa" w:w="1728"/>
          </w:tcPr>
          <w:p>
            <w:r>
              <w:rPr>
                <w:rFonts w:ascii="Calibri" w:hAnsi="Calibri"/>
                <w:sz w:val="22"/>
              </w:rPr>
              <w:t>Miss</w:t>
            </w:r>
          </w:p>
        </w:tc>
      </w:tr>
      <w:tr>
        <w:tc>
          <w:tcPr>
            <w:tcW w:type="dxa" w:w="1728"/>
          </w:tcPr>
          <w:p>
            <w:r>
              <w:rPr>
                <w:rFonts w:ascii="Calibri" w:hAnsi="Calibri"/>
                <w:sz w:val="22"/>
              </w:rPr>
              <w:t>2Q 2025</w:t>
            </w:r>
          </w:p>
        </w:tc>
        <w:tc>
          <w:tcPr>
            <w:tcW w:type="dxa" w:w="1728"/>
          </w:tcPr>
          <w:p>
            <w:r>
              <w:rPr>
                <w:rFonts w:ascii="Calibri" w:hAnsi="Calibri"/>
                <w:sz w:val="22"/>
              </w:rPr>
              <w:t>2.15</w:t>
            </w:r>
          </w:p>
        </w:tc>
        <w:tc>
          <w:tcPr>
            <w:tcW w:type="dxa" w:w="1728"/>
          </w:tcPr>
          <w:p>
            <w:r>
              <w:rPr>
                <w:rFonts w:ascii="Calibri" w:hAnsi="Calibri"/>
                <w:sz w:val="22"/>
              </w:rPr>
              <w:t>2.14</w:t>
            </w:r>
          </w:p>
        </w:tc>
        <w:tc>
          <w:tcPr>
            <w:tcW w:type="dxa" w:w="1728"/>
          </w:tcPr>
          <w:p>
            <w:r>
              <w:rPr>
                <w:rFonts w:ascii="Calibri" w:hAnsi="Calibri"/>
                <w:b/>
                <w:color w:val="30A46C"/>
                <w:sz w:val="22"/>
              </w:rPr>
              <w:t>+0.5%</w:t>
            </w:r>
          </w:p>
        </w:tc>
        <w:tc>
          <w:tcPr>
            <w:tcW w:type="dxa" w:w="1728"/>
          </w:tcPr>
          <w:p>
            <w:r>
              <w:rPr>
                <w:rFonts w:ascii="Calibri" w:hAnsi="Calibri"/>
                <w:sz w:val="22"/>
              </w:rPr>
              <w:t>Beat</w:t>
            </w:r>
          </w:p>
        </w:tc>
      </w:tr>
      <w:tr>
        <w:tc>
          <w:tcPr>
            <w:tcW w:type="dxa" w:w="1728"/>
          </w:tcPr>
          <w:p>
            <w:r>
              <w:rPr>
                <w:rFonts w:ascii="Calibri" w:hAnsi="Calibri"/>
                <w:sz w:val="22"/>
              </w:rPr>
              <w:t>1Q 2025</w:t>
            </w:r>
          </w:p>
        </w:tc>
        <w:tc>
          <w:tcPr>
            <w:tcW w:type="dxa" w:w="1728"/>
          </w:tcPr>
          <w:p>
            <w:r>
              <w:rPr>
                <w:rFonts w:ascii="Calibri" w:hAnsi="Calibri"/>
                <w:sz w:val="22"/>
              </w:rPr>
              <w:t>2.20</w:t>
            </w:r>
          </w:p>
        </w:tc>
        <w:tc>
          <w:tcPr>
            <w:tcW w:type="dxa" w:w="1728"/>
          </w:tcPr>
          <w:p>
            <w:r>
              <w:rPr>
                <w:rFonts w:ascii="Calibri" w:hAnsi="Calibri"/>
                <w:sz w:val="22"/>
              </w:rPr>
              <w:t>2.16</w:t>
            </w:r>
          </w:p>
        </w:tc>
        <w:tc>
          <w:tcPr>
            <w:tcW w:type="dxa" w:w="1728"/>
          </w:tcPr>
          <w:p>
            <w:r>
              <w:rPr>
                <w:rFonts w:ascii="Calibri" w:hAnsi="Calibri"/>
                <w:b/>
                <w:color w:val="30A46C"/>
                <w:sz w:val="22"/>
              </w:rPr>
              <w:t>+1.9%</w:t>
            </w:r>
          </w:p>
        </w:tc>
        <w:tc>
          <w:tcPr>
            <w:tcW w:type="dxa" w:w="1728"/>
          </w:tcPr>
          <w:p>
            <w:r>
              <w:rPr>
                <w:rFonts w:ascii="Calibri" w:hAnsi="Calibri"/>
                <w:sz w:val="22"/>
              </w:rPr>
              <w:t>Beat</w:t>
            </w:r>
          </w:p>
        </w:tc>
      </w:tr>
      <w:tr>
        <w:tc>
          <w:tcPr>
            <w:tcW w:type="dxa" w:w="1728"/>
          </w:tcPr>
          <w:p>
            <w:r>
              <w:rPr>
                <w:rFonts w:ascii="Calibri" w:hAnsi="Calibri"/>
                <w:sz w:val="22"/>
              </w:rPr>
              <w:t>4Q 2024</w:t>
            </w:r>
          </w:p>
        </w:tc>
        <w:tc>
          <w:tcPr>
            <w:tcW w:type="dxa" w:w="1728"/>
          </w:tcPr>
          <w:p>
            <w:r>
              <w:rPr>
                <w:rFonts w:ascii="Calibri" w:hAnsi="Calibri"/>
                <w:sz w:val="22"/>
              </w:rPr>
              <w:t>2.23</w:t>
            </w:r>
          </w:p>
        </w:tc>
        <w:tc>
          <w:tcPr>
            <w:tcW w:type="dxa" w:w="1728"/>
          </w:tcPr>
          <w:p>
            <w:r>
              <w:rPr>
                <w:rFonts w:ascii="Calibri" w:hAnsi="Calibri"/>
                <w:sz w:val="22"/>
              </w:rPr>
              <w:t>2.24</w:t>
            </w:r>
          </w:p>
        </w:tc>
        <w:tc>
          <w:tcPr>
            <w:tcW w:type="dxa" w:w="1728"/>
          </w:tcPr>
          <w:p>
            <w:r>
              <w:rPr>
                <w:rFonts w:ascii="Calibri" w:hAnsi="Calibri"/>
                <w:b/>
                <w:color w:val="E5484D"/>
                <w:sz w:val="22"/>
              </w:rPr>
              <w:t>-0.4%</w:t>
            </w:r>
          </w:p>
        </w:tc>
        <w:tc>
          <w:tcPr>
            <w:tcW w:type="dxa" w:w="1728"/>
          </w:tcPr>
          <w:p>
            <w:r>
              <w:rPr>
                <w:rFonts w:ascii="Calibri" w:hAnsi="Calibri"/>
                <w:sz w:val="22"/>
              </w:rPr>
              <w:t>Miss</w:t>
            </w:r>
          </w:p>
        </w:tc>
      </w:tr>
      <w:tr>
        <w:tc>
          <w:tcPr>
            <w:tcW w:type="dxa" w:w="1728"/>
          </w:tcPr>
          <w:p>
            <w:r>
              <w:rPr>
                <w:rFonts w:ascii="Calibri" w:hAnsi="Calibri"/>
                <w:sz w:val="22"/>
              </w:rPr>
              <w:t>3Q 2024</w:t>
            </w:r>
          </w:p>
        </w:tc>
        <w:tc>
          <w:tcPr>
            <w:tcW w:type="dxa" w:w="1728"/>
          </w:tcPr>
          <w:p>
            <w:r>
              <w:rPr>
                <w:rFonts w:ascii="Calibri" w:hAnsi="Calibri"/>
                <w:sz w:val="22"/>
              </w:rPr>
              <w:t>2.21</w:t>
            </w:r>
          </w:p>
        </w:tc>
        <w:tc>
          <w:tcPr>
            <w:tcW w:type="dxa" w:w="1728"/>
          </w:tcPr>
          <w:p>
            <w:r>
              <w:rPr>
                <w:rFonts w:ascii="Calibri" w:hAnsi="Calibri"/>
                <w:sz w:val="22"/>
              </w:rPr>
              <w:t>2.17</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2Q 2024</w:t>
            </w:r>
          </w:p>
        </w:tc>
        <w:tc>
          <w:tcPr>
            <w:tcW w:type="dxa" w:w="1728"/>
          </w:tcPr>
          <w:p>
            <w:r>
              <w:rPr>
                <w:rFonts w:ascii="Calibri" w:hAnsi="Calibri"/>
                <w:sz w:val="22"/>
              </w:rPr>
              <w:t>2.22</w:t>
            </w:r>
          </w:p>
        </w:tc>
        <w:tc>
          <w:tcPr>
            <w:tcW w:type="dxa" w:w="1728"/>
          </w:tcPr>
          <w:p>
            <w:r>
              <w:rPr>
                <w:rFonts w:ascii="Calibri" w:hAnsi="Calibri"/>
                <w:sz w:val="22"/>
              </w:rPr>
              <w:t>2.19</w:t>
            </w:r>
          </w:p>
        </w:tc>
        <w:tc>
          <w:tcPr>
            <w:tcW w:type="dxa" w:w="1728"/>
          </w:tcPr>
          <w:p>
            <w:r>
              <w:rPr>
                <w:rFonts w:ascii="Calibri" w:hAnsi="Calibri"/>
                <w:b/>
                <w:color w:val="30A46C"/>
                <w:sz w:val="22"/>
              </w:rPr>
              <w:t>+1.4%</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MAA has beaten Core FFO consensus in 6 of the last 8 quarters, with beats typically driven by expense discipline rather than revenue outperformance. The two misses (3Q25, 4Q24) were narrow and within rounding. Source: Visible Alpha consensus and actuals data.</w:t>
      </w:r>
    </w:p>
    <w:p>
      <w:pPr>
        <w:pStyle w:val="Heading4"/>
      </w:pPr>
      <w:r>
        <w:rPr>
          <w:rFonts w:ascii="Calibri" w:hAnsi="Calibri"/>
          <w:b/>
          <w:color w:val="3B4259"/>
          <w:sz w:val="22"/>
        </w:rPr>
        <w:t>Effective Blended Lease Rate — Same Store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-0.3%</w:t>
            </w:r>
          </w:p>
        </w:tc>
        <w:tc>
          <w:tcPr>
            <w:tcW w:type="dxa" w:w="1728"/>
          </w:tcPr>
          <w:p>
            <w:r>
              <w:rPr>
                <w:rFonts w:ascii="Calibri" w:hAnsi="Calibri"/>
                <w:sz w:val="22"/>
              </w:rPr>
              <w:t>+0.08%</w:t>
            </w:r>
          </w:p>
        </w:tc>
        <w:tc>
          <w:tcPr>
            <w:tcW w:type="dxa" w:w="1728"/>
          </w:tcPr>
          <w:p>
            <w:r>
              <w:rPr>
                <w:rFonts w:ascii="Calibri" w:hAnsi="Calibri"/>
                <w:b/>
                <w:color w:val="E5484D"/>
                <w:sz w:val="22"/>
              </w:rPr>
              <w:t>-38 bps</w:t>
            </w:r>
          </w:p>
        </w:tc>
        <w:tc>
          <w:tcPr>
            <w:tcW w:type="dxa" w:w="1728"/>
          </w:tcPr>
          <w:p>
            <w:r>
              <w:rPr>
                <w:rFonts w:ascii="Calibri" w:hAnsi="Calibri"/>
                <w:sz w:val="22"/>
              </w:rPr>
              <w:t>Miss</w:t>
            </w:r>
          </w:p>
        </w:tc>
      </w:tr>
      <w:tr>
        <w:tc>
          <w:tcPr>
            <w:tcW w:type="dxa" w:w="1728"/>
          </w:tcPr>
          <w:p>
            <w:r>
              <w:rPr>
                <w:rFonts w:ascii="Calibri" w:hAnsi="Calibri"/>
                <w:sz w:val="22"/>
              </w:rPr>
              <w:t>4Q 2025</w:t>
            </w:r>
          </w:p>
        </w:tc>
        <w:tc>
          <w:tcPr>
            <w:tcW w:type="dxa" w:w="1728"/>
          </w:tcPr>
          <w:p>
            <w:r>
              <w:rPr>
                <w:rFonts w:ascii="Calibri" w:hAnsi="Calibri"/>
                <w:sz w:val="22"/>
              </w:rPr>
              <w:t>-1.7%</w:t>
            </w:r>
          </w:p>
        </w:tc>
        <w:tc>
          <w:tcPr>
            <w:tcW w:type="dxa" w:w="1728"/>
          </w:tcPr>
          <w:p>
            <w:r>
              <w:rPr>
                <w:rFonts w:ascii="Calibri" w:hAnsi="Calibri"/>
                <w:sz w:val="22"/>
              </w:rPr>
              <w:t>-0.62%</w:t>
            </w:r>
          </w:p>
        </w:tc>
        <w:tc>
          <w:tcPr>
            <w:tcW w:type="dxa" w:w="1728"/>
          </w:tcPr>
          <w:p>
            <w:r>
              <w:rPr>
                <w:rFonts w:ascii="Calibri" w:hAnsi="Calibri"/>
                <w:b/>
                <w:color w:val="E5484D"/>
                <w:sz w:val="22"/>
              </w:rPr>
              <w:t>-108 bps</w:t>
            </w:r>
          </w:p>
        </w:tc>
        <w:tc>
          <w:tcPr>
            <w:tcW w:type="dxa" w:w="1728"/>
          </w:tcPr>
          <w:p>
            <w:r>
              <w:rPr>
                <w:rFonts w:ascii="Calibri" w:hAnsi="Calibri"/>
                <w:sz w:val="22"/>
              </w:rPr>
              <w:t>Miss</w:t>
            </w:r>
          </w:p>
        </w:tc>
      </w:tr>
      <w:tr>
        <w:tc>
          <w:tcPr>
            <w:tcW w:type="dxa" w:w="1728"/>
          </w:tcPr>
          <w:p>
            <w:r>
              <w:rPr>
                <w:rFonts w:ascii="Calibri" w:hAnsi="Calibri"/>
                <w:sz w:val="22"/>
              </w:rPr>
              <w:t>3Q 2025</w:t>
            </w:r>
          </w:p>
        </w:tc>
        <w:tc>
          <w:tcPr>
            <w:tcW w:type="dxa" w:w="1728"/>
          </w:tcPr>
          <w:p>
            <w:r>
              <w:rPr>
                <w:rFonts w:ascii="Calibri" w:hAnsi="Calibri"/>
                <w:sz w:val="22"/>
              </w:rPr>
              <w:t>+0.3%</w:t>
            </w:r>
          </w:p>
        </w:tc>
        <w:tc>
          <w:tcPr>
            <w:tcW w:type="dxa" w:w="1728"/>
          </w:tcPr>
          <w:p>
            <w:r>
              <w:rPr>
                <w:rFonts w:ascii="Calibri" w:hAnsi="Calibri"/>
                <w:sz w:val="22"/>
              </w:rPr>
              <w:t>+0.76%</w:t>
            </w:r>
          </w:p>
        </w:tc>
        <w:tc>
          <w:tcPr>
            <w:tcW w:type="dxa" w:w="1728"/>
          </w:tcPr>
          <w:p>
            <w:r>
              <w:rPr>
                <w:rFonts w:ascii="Calibri" w:hAnsi="Calibri"/>
                <w:b/>
                <w:color w:val="E5484D"/>
                <w:sz w:val="22"/>
              </w:rPr>
              <w:t>-46 bps</w:t>
            </w:r>
          </w:p>
        </w:tc>
        <w:tc>
          <w:tcPr>
            <w:tcW w:type="dxa" w:w="1728"/>
          </w:tcPr>
          <w:p>
            <w:r>
              <w:rPr>
                <w:rFonts w:ascii="Calibri" w:hAnsi="Calibri"/>
                <w:sz w:val="22"/>
              </w:rPr>
              <w:t>Miss</w:t>
            </w:r>
          </w:p>
        </w:tc>
      </w:tr>
      <w:tr>
        <w:tc>
          <w:tcPr>
            <w:tcW w:type="dxa" w:w="1728"/>
          </w:tcPr>
          <w:p>
            <w:r>
              <w:rPr>
                <w:rFonts w:ascii="Calibri" w:hAnsi="Calibri"/>
                <w:sz w:val="22"/>
              </w:rPr>
              <w:t>2Q 2025</w:t>
            </w:r>
          </w:p>
        </w:tc>
        <w:tc>
          <w:tcPr>
            <w:tcW w:type="dxa" w:w="1728"/>
          </w:tcPr>
          <w:p>
            <w:r>
              <w:rPr>
                <w:rFonts w:ascii="Calibri" w:hAnsi="Calibri"/>
                <w:sz w:val="22"/>
              </w:rPr>
              <w:t>+0.5%</w:t>
            </w:r>
          </w:p>
        </w:tc>
        <w:tc>
          <w:tcPr>
            <w:tcW w:type="dxa" w:w="1728"/>
          </w:tcPr>
          <w:p>
            <w:r>
              <w:rPr>
                <w:rFonts w:ascii="Calibri" w:hAnsi="Calibri"/>
                <w:sz w:val="22"/>
              </w:rPr>
              <w:t>+1.03%</w:t>
            </w:r>
          </w:p>
        </w:tc>
        <w:tc>
          <w:tcPr>
            <w:tcW w:type="dxa" w:w="1728"/>
          </w:tcPr>
          <w:p>
            <w:r>
              <w:rPr>
                <w:rFonts w:ascii="Calibri" w:hAnsi="Calibri"/>
                <w:b/>
                <w:color w:val="E5484D"/>
                <w:sz w:val="22"/>
              </w:rPr>
              <w:t>-53 bps</w:t>
            </w:r>
          </w:p>
        </w:tc>
        <w:tc>
          <w:tcPr>
            <w:tcW w:type="dxa" w:w="1728"/>
          </w:tcPr>
          <w:p>
            <w:r>
              <w:rPr>
                <w:rFonts w:ascii="Calibri" w:hAnsi="Calibri"/>
                <w:sz w:val="22"/>
              </w:rPr>
              <w:t>Miss</w:t>
            </w:r>
          </w:p>
        </w:tc>
      </w:tr>
      <w:tr>
        <w:tc>
          <w:tcPr>
            <w:tcW w:type="dxa" w:w="1728"/>
          </w:tcPr>
          <w:p>
            <w:r>
              <w:rPr>
                <w:rFonts w:ascii="Calibri" w:hAnsi="Calibri"/>
                <w:sz w:val="22"/>
              </w:rPr>
              <w:t>1Q 2025</w:t>
            </w:r>
          </w:p>
        </w:tc>
        <w:tc>
          <w:tcPr>
            <w:tcW w:type="dxa" w:w="1728"/>
          </w:tcPr>
          <w:p>
            <w:r>
              <w:rPr>
                <w:rFonts w:ascii="Calibri" w:hAnsi="Calibri"/>
                <w:sz w:val="22"/>
              </w:rPr>
              <w:t>-0.5%</w:t>
            </w:r>
          </w:p>
        </w:tc>
        <w:tc>
          <w:tcPr>
            <w:tcW w:type="dxa" w:w="1728"/>
          </w:tcPr>
          <w:p>
            <w:r>
              <w:rPr>
                <w:rFonts w:ascii="Calibri" w:hAnsi="Calibri"/>
                <w:sz w:val="22"/>
              </w:rPr>
              <w:t>-0.41%</w:t>
            </w:r>
          </w:p>
        </w:tc>
        <w:tc>
          <w:tcPr>
            <w:tcW w:type="dxa" w:w="1728"/>
          </w:tcPr>
          <w:p>
            <w:r>
              <w:rPr>
                <w:rFonts w:ascii="Calibri" w:hAnsi="Calibri"/>
                <w:b/>
                <w:color w:val="E5484D"/>
                <w:sz w:val="22"/>
              </w:rPr>
              <w:t>-9 bps</w:t>
            </w:r>
          </w:p>
        </w:tc>
        <w:tc>
          <w:tcPr>
            <w:tcW w:type="dxa" w:w="1728"/>
          </w:tcPr>
          <w:p>
            <w:r>
              <w:rPr>
                <w:rFonts w:ascii="Calibri" w:hAnsi="Calibri"/>
                <w:sz w:val="22"/>
              </w:rPr>
              <w:t>Miss</w:t>
            </w:r>
          </w:p>
        </w:tc>
      </w:tr>
      <w:tr>
        <w:tc>
          <w:tcPr>
            <w:tcW w:type="dxa" w:w="1728"/>
          </w:tcPr>
          <w:p>
            <w:r>
              <w:rPr>
                <w:rFonts w:ascii="Calibri" w:hAnsi="Calibri"/>
                <w:sz w:val="22"/>
              </w:rPr>
              <w:t>4Q 2024</w:t>
            </w:r>
          </w:p>
        </w:tc>
        <w:tc>
          <w:tcPr>
            <w:tcW w:type="dxa" w:w="1728"/>
          </w:tcPr>
          <w:p>
            <w:r>
              <w:rPr>
                <w:rFonts w:ascii="Calibri" w:hAnsi="Calibri"/>
                <w:sz w:val="22"/>
              </w:rPr>
              <w:t>-2.0%</w:t>
            </w:r>
          </w:p>
        </w:tc>
        <w:tc>
          <w:tcPr>
            <w:tcW w:type="dxa" w:w="1728"/>
          </w:tcPr>
          <w:p>
            <w:r>
              <w:rPr>
                <w:rFonts w:ascii="Calibri" w:hAnsi="Calibri"/>
                <w:sz w:val="22"/>
              </w:rPr>
              <w:t>-0.32%</w:t>
            </w:r>
          </w:p>
        </w:tc>
        <w:tc>
          <w:tcPr>
            <w:tcW w:type="dxa" w:w="1728"/>
          </w:tcPr>
          <w:p>
            <w:r>
              <w:rPr>
                <w:rFonts w:ascii="Calibri" w:hAnsi="Calibri"/>
                <w:b/>
                <w:color w:val="E5484D"/>
                <w:sz w:val="22"/>
              </w:rPr>
              <w:t>-168 bps</w:t>
            </w:r>
          </w:p>
        </w:tc>
        <w:tc>
          <w:tcPr>
            <w:tcW w:type="dxa" w:w="1728"/>
          </w:tcPr>
          <w:p>
            <w:r>
              <w:rPr>
                <w:rFonts w:ascii="Calibri" w:hAnsi="Calibri"/>
                <w:sz w:val="22"/>
              </w:rPr>
              <w:t>Miss</w:t>
            </w:r>
          </w:p>
        </w:tc>
      </w:tr>
      <w:tr>
        <w:tc>
          <w:tcPr>
            <w:tcW w:type="dxa" w:w="1728"/>
          </w:tcPr>
          <w:p>
            <w:r>
              <w:rPr>
                <w:rFonts w:ascii="Calibri" w:hAnsi="Calibri"/>
                <w:sz w:val="22"/>
              </w:rPr>
              <w:t>3Q 2024</w:t>
            </w:r>
          </w:p>
        </w:tc>
        <w:tc>
          <w:tcPr>
            <w:tcW w:type="dxa" w:w="1728"/>
          </w:tcPr>
          <w:p>
            <w:r>
              <w:rPr>
                <w:rFonts w:ascii="Calibri" w:hAnsi="Calibri"/>
                <w:sz w:val="22"/>
              </w:rPr>
              <w:t>-0.2%</w:t>
            </w:r>
          </w:p>
        </w:tc>
        <w:tc>
          <w:tcPr>
            <w:tcW w:type="dxa" w:w="1728"/>
          </w:tcPr>
          <w:p>
            <w:r>
              <w:rPr>
                <w:rFonts w:ascii="Calibri" w:hAnsi="Calibri"/>
                <w:sz w:val="22"/>
              </w:rPr>
              <w:t>+0.24%</w:t>
            </w:r>
          </w:p>
        </w:tc>
        <w:tc>
          <w:tcPr>
            <w:tcW w:type="dxa" w:w="1728"/>
          </w:tcPr>
          <w:p>
            <w:r>
              <w:rPr>
                <w:rFonts w:ascii="Calibri" w:hAnsi="Calibri"/>
                <w:b/>
                <w:color w:val="E5484D"/>
                <w:sz w:val="22"/>
              </w:rPr>
              <w:t>-44 bps</w:t>
            </w:r>
          </w:p>
        </w:tc>
        <w:tc>
          <w:tcPr>
            <w:tcW w:type="dxa" w:w="1728"/>
          </w:tcPr>
          <w:p>
            <w:r>
              <w:rPr>
                <w:rFonts w:ascii="Calibri" w:hAnsi="Calibri"/>
                <w:sz w:val="22"/>
              </w:rPr>
              <w:t>Miss</w:t>
            </w:r>
          </w:p>
        </w:tc>
      </w:tr>
      <w:tr>
        <w:tc>
          <w:tcPr>
            <w:tcW w:type="dxa" w:w="1728"/>
          </w:tcPr>
          <w:p>
            <w:r>
              <w:rPr>
                <w:rFonts w:ascii="Calibri" w:hAnsi="Calibri"/>
                <w:sz w:val="22"/>
              </w:rPr>
              <w:t>2Q 2024</w:t>
            </w:r>
          </w:p>
        </w:tc>
        <w:tc>
          <w:tcPr>
            <w:tcW w:type="dxa" w:w="1728"/>
          </w:tcPr>
          <w:p>
            <w:r>
              <w:rPr>
                <w:rFonts w:ascii="Calibri" w:hAnsi="Calibri"/>
                <w:sz w:val="22"/>
              </w:rPr>
              <w:t>+0.5%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Blended lease rates have consistently come in below consensus over the past 7 quarters, reflecting the street's persistent over-optimism on pricing recovery during the peak supply cycle. The 2Q26 consensus of +0.87% represents a meaningful step-up from the -0.3% reported in 1Q26 — management's May Nareit data (blended up ~140 bps from Q1) suggests this is achievable, but the historical pattern of misses warrants caution.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Core FFO guidance midpoint is unchanged at $8.53 since Q1 earnings, with the range tightened; the only post-earnings development is the June 25 $350M DDTL facility, which adds balance sheet flexibility but also incremental interest expense risk ahead of the September $300M bond maturity.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29,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Core FFO per Share — FY 2026 ($)</w:t>
            </w:r>
          </w:p>
        </w:tc>
        <w:tc>
          <w:tcPr>
            <w:tcW w:type="dxa" w:w="1728"/>
          </w:tcPr>
          <w:p>
            <w:r>
              <w:rPr>
                <w:rFonts w:ascii="Calibri" w:hAnsi="Calibri"/>
                <w:sz w:val="22"/>
              </w:rPr>
              <w:t>$8.37–$8.69 ($8.53 mid)</w:t>
            </w:r>
          </w:p>
        </w:tc>
        <w:tc>
          <w:tcPr>
            <w:tcW w:type="dxa" w:w="1728"/>
          </w:tcPr>
          <w:p>
            <w:r>
              <w:rPr>
                <w:rFonts w:ascii="Calibri" w:hAnsi="Calibri"/>
                <w:sz w:val="22"/>
              </w:rPr>
              <w:t>—</w:t>
            </w:r>
          </w:p>
        </w:tc>
        <w:tc>
          <w:tcPr>
            <w:tcW w:type="dxa" w:w="1728"/>
          </w:tcPr>
          <w:p>
            <w:r>
              <w:rPr>
                <w:rFonts w:ascii="Calibri" w:hAnsi="Calibri"/>
                <w:sz w:val="22"/>
              </w:rPr>
              <w:t>$8.50</w:t>
            </w:r>
          </w:p>
        </w:tc>
        <w:tc>
          <w:tcPr>
            <w:tcW w:type="dxa" w:w="1728"/>
          </w:tcPr>
          <w:p>
            <w:r>
              <w:rPr>
                <w:rFonts w:ascii="Calibri" w:hAnsi="Calibri"/>
                <w:sz w:val="22"/>
              </w:rPr>
              <w:t>Midpoint unchanged; range tightened from initial wider band. Consensus slightly below midpoint.</w:t>
            </w:r>
          </w:p>
        </w:tc>
      </w:tr>
      <w:tr>
        <w:tc>
          <w:tcPr>
            <w:tcW w:type="dxa" w:w="1728"/>
          </w:tcPr>
          <w:p>
            <w:r>
              <w:rPr>
                <w:rFonts w:ascii="Calibri" w:hAnsi="Calibri"/>
                <w:sz w:val="22"/>
              </w:rPr>
              <w:t>Core FFO per Share — 2Q 2026 ($)</w:t>
            </w:r>
          </w:p>
        </w:tc>
        <w:tc>
          <w:tcPr>
            <w:tcW w:type="dxa" w:w="1728"/>
          </w:tcPr>
          <w:p>
            <w:r>
              <w:rPr>
                <w:rFonts w:ascii="Calibri" w:hAnsi="Calibri"/>
                <w:sz w:val="22"/>
              </w:rPr>
              <w:t>$2.00–$2.12 ($2.06 mid)</w:t>
            </w:r>
          </w:p>
        </w:tc>
        <w:tc>
          <w:tcPr>
            <w:tcW w:type="dxa" w:w="1728"/>
          </w:tcPr>
          <w:p>
            <w:r>
              <w:rPr>
                <w:rFonts w:ascii="Calibri" w:hAnsi="Calibri"/>
                <w:sz w:val="22"/>
              </w:rPr>
              <w:t>—</w:t>
            </w:r>
          </w:p>
        </w:tc>
        <w:tc>
          <w:tcPr>
            <w:tcW w:type="dxa" w:w="1728"/>
          </w:tcPr>
          <w:p>
            <w:r>
              <w:rPr>
                <w:rFonts w:ascii="Calibri" w:hAnsi="Calibri"/>
                <w:sz w:val="22"/>
              </w:rPr>
              <w:t>$2.08</w:t>
            </w:r>
          </w:p>
        </w:tc>
        <w:tc>
          <w:tcPr>
            <w:tcW w:type="dxa" w:w="1728"/>
          </w:tcPr>
          <w:p>
            <w:r>
              <w:rPr>
                <w:rFonts w:ascii="Calibri" w:hAnsi="Calibri"/>
                <w:sz w:val="22"/>
              </w:rPr>
              <w:t>Consensus $0.02 above midpoint; no post-earnings revision to quarterly guidance.</w:t>
            </w:r>
          </w:p>
        </w:tc>
      </w:tr>
      <w:tr>
        <w:tc>
          <w:tcPr>
            <w:tcW w:type="dxa" w:w="1728"/>
          </w:tcPr>
          <w:p>
            <w:r>
              <w:rPr>
                <w:rFonts w:ascii="Calibri" w:hAnsi="Calibri"/>
                <w:sz w:val="22"/>
              </w:rPr>
              <w:t>SS Property Revenue Growth — FY 2026 (%)</w:t>
            </w:r>
          </w:p>
        </w:tc>
        <w:tc>
          <w:tcPr>
            <w:tcW w:type="dxa" w:w="1728"/>
          </w:tcPr>
          <w:p>
            <w:r>
              <w:rPr>
                <w:rFonts w:ascii="Calibri" w:hAnsi="Calibri"/>
                <w:sz w:val="22"/>
              </w:rPr>
              <w:t>-0.20% to +1.30% (+0.55% mid)</w:t>
            </w:r>
          </w:p>
        </w:tc>
        <w:tc>
          <w:tcPr>
            <w:tcW w:type="dxa" w:w="1728"/>
          </w:tcPr>
          <w:p>
            <w:r>
              <w:rPr>
                <w:rFonts w:ascii="Calibri" w:hAnsi="Calibri"/>
                <w:sz w:val="22"/>
              </w:rPr>
              <w:t>—</w:t>
            </w:r>
          </w:p>
        </w:tc>
        <w:tc>
          <w:tcPr>
            <w:tcW w:type="dxa" w:w="1728"/>
          </w:tcPr>
          <w:p>
            <w:r>
              <w:rPr>
                <w:rFonts w:ascii="Calibri" w:hAnsi="Calibri"/>
                <w:sz w:val="22"/>
              </w:rPr>
              <w:t>+0.23%</w:t>
            </w:r>
          </w:p>
        </w:tc>
        <w:tc>
          <w:tcPr>
            <w:tcW w:type="dxa" w:w="1728"/>
          </w:tcPr>
          <w:p>
            <w:r>
              <w:rPr>
                <w:rFonts w:ascii="Calibri" w:hAnsi="Calibri"/>
                <w:sz w:val="22"/>
              </w:rPr>
              <w:t>Consensus below midpoint; May leasing data (blended at 2-yr high) could support upward revision.</w:t>
            </w:r>
          </w:p>
        </w:tc>
      </w:tr>
      <w:tr>
        <w:tc>
          <w:tcPr>
            <w:tcW w:type="dxa" w:w="1728"/>
          </w:tcPr>
          <w:p>
            <w:r>
              <w:rPr>
                <w:rFonts w:ascii="Calibri" w:hAnsi="Calibri"/>
                <w:sz w:val="22"/>
              </w:rPr>
              <w:t>SS NOI Growth — FY 2026 (%)</w:t>
            </w:r>
          </w:p>
        </w:tc>
        <w:tc>
          <w:tcPr>
            <w:tcW w:type="dxa" w:w="1728"/>
          </w:tcPr>
          <w:p>
            <w:r>
              <w:rPr>
                <w:rFonts w:ascii="Calibri" w:hAnsi="Calibri"/>
                <w:sz w:val="22"/>
              </w:rPr>
              <w:t>-1.70% to +0.30% (-0.70% mid)</w:t>
            </w:r>
          </w:p>
        </w:tc>
        <w:tc>
          <w:tcPr>
            <w:tcW w:type="dxa" w:w="1728"/>
          </w:tcPr>
          <w:p>
            <w:r>
              <w:rPr>
                <w:rFonts w:ascii="Calibri" w:hAnsi="Calibri"/>
                <w:sz w:val="22"/>
              </w:rPr>
              <w:t>—</w:t>
            </w:r>
          </w:p>
        </w:tc>
        <w:tc>
          <w:tcPr>
            <w:tcW w:type="dxa" w:w="1728"/>
          </w:tcPr>
          <w:p>
            <w:r>
              <w:rPr>
                <w:rFonts w:ascii="Calibri" w:hAnsi="Calibri"/>
                <w:sz w:val="22"/>
              </w:rPr>
              <w:t>-1.08%</w:t>
            </w:r>
          </w:p>
        </w:tc>
        <w:tc>
          <w:tcPr>
            <w:tcW w:type="dxa" w:w="1728"/>
          </w:tcPr>
          <w:p>
            <w:r>
              <w:rPr>
                <w:rFonts w:ascii="Calibri" w:hAnsi="Calibri"/>
                <w:sz w:val="22"/>
              </w:rPr>
              <w:t>Consensus below midpoint; expense discipline has been a consistent beat driver.</w:t>
            </w:r>
          </w:p>
        </w:tc>
      </w:tr>
      <w:tr>
        <w:tc>
          <w:tcPr>
            <w:tcW w:type="dxa" w:w="1728"/>
          </w:tcPr>
          <w:p>
            <w:r>
              <w:rPr>
                <w:rFonts w:ascii="Calibri" w:hAnsi="Calibri"/>
                <w:sz w:val="22"/>
              </w:rPr>
              <w:t>SS Occupancy — FY 2026 (%)</w:t>
            </w:r>
          </w:p>
        </w:tc>
        <w:tc>
          <w:tcPr>
            <w:tcW w:type="dxa" w:w="1728"/>
          </w:tcPr>
          <w:p>
            <w:r>
              <w:rPr>
                <w:rFonts w:ascii="Calibri" w:hAnsi="Calibri"/>
                <w:sz w:val="22"/>
              </w:rPr>
              <w:t>95.35%–95.85% (95.60% mid)</w:t>
            </w:r>
          </w:p>
        </w:tc>
        <w:tc>
          <w:tcPr>
            <w:tcW w:type="dxa" w:w="1728"/>
          </w:tcPr>
          <w:p>
            <w:r>
              <w:rPr>
                <w:rFonts w:ascii="Calibri" w:hAnsi="Calibri"/>
                <w:sz w:val="22"/>
              </w:rPr>
              <w:t>—</w:t>
            </w:r>
          </w:p>
        </w:tc>
        <w:tc>
          <w:tcPr>
            <w:tcW w:type="dxa" w:w="1728"/>
          </w:tcPr>
          <w:p>
            <w:r>
              <w:rPr>
                <w:rFonts w:ascii="Calibri" w:hAnsi="Calibri"/>
                <w:sz w:val="22"/>
              </w:rPr>
              <w:t>95.39%</w:t>
            </w:r>
          </w:p>
        </w:tc>
        <w:tc>
          <w:tcPr>
            <w:tcW w:type="dxa" w:w="1728"/>
          </w:tcPr>
          <w:p>
            <w:r>
              <w:rPr>
                <w:rFonts w:ascii="Calibri" w:hAnsi="Calibri"/>
                <w:sz w:val="22"/>
              </w:rPr>
              <w:t>Consensus slightly below midpoint; April occupancy confirmed at 95.5%.</w:t>
            </w:r>
          </w:p>
        </w:tc>
      </w:tr>
      <w:tr>
        <w:tc>
          <w:tcPr>
            <w:tcW w:type="dxa" w:w="1728"/>
          </w:tcPr>
          <w:p>
            <w:r>
              <w:rPr>
                <w:rFonts w:ascii="Calibri" w:hAnsi="Calibri"/>
                <w:sz w:val="22"/>
              </w:rPr>
              <w:t>Development Spend — FY 2026 ($M)</w:t>
            </w:r>
          </w:p>
        </w:tc>
        <w:tc>
          <w:tcPr>
            <w:tcW w:type="dxa" w:w="1728"/>
          </w:tcPr>
          <w:p>
            <w:r>
              <w:rPr>
                <w:rFonts w:ascii="Calibri" w:hAnsi="Calibri"/>
                <w:sz w:val="22"/>
              </w:rPr>
              <w:t>$300M–$400M ($350M mid)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Reduced from $400M original to $350M due to approval timing; not a strategic shift per management.</w:t>
            </w:r>
          </w:p>
        </w:tc>
      </w:tr>
      <w:tr>
        <w:tc>
          <w:tcPr>
            <w:tcW w:type="dxa" w:w="1728"/>
          </w:tcPr>
          <w:p>
            <w:r>
              <w:rPr>
                <w:rFonts w:ascii="Calibri" w:hAnsi="Calibri"/>
                <w:sz w:val="22"/>
              </w:rPr>
              <w:t>$350M DDTL Facility</w:t>
            </w:r>
          </w:p>
        </w:tc>
        <w:tc>
          <w:tcPr>
            <w:tcW w:type="dxa" w:w="1728"/>
          </w:tcPr>
          <w:p>
            <w:r>
              <w:rPr>
                <w:rFonts w:ascii="Calibri" w:hAnsi="Calibri"/>
                <w:sz w:val="22"/>
              </w:rPr>
              <w:t>—</w:t>
            </w:r>
          </w:p>
        </w:tc>
        <w:tc>
          <w:tcPr>
            <w:tcW w:type="dxa" w:w="1728"/>
          </w:tcPr>
          <w:p>
            <w:r>
              <w:rPr>
                <w:rFonts w:ascii="Calibri" w:hAnsi="Calibri"/>
                <w:sz w:val="22"/>
              </w:rPr>
              <w:t>New: $350M unsecured delayed draw term loan (up to $550M accordion); matures Nov 2030</w:t>
            </w:r>
          </w:p>
        </w:tc>
        <w:tc>
          <w:tcPr>
            <w:tcW w:type="dxa" w:w="1728"/>
          </w:tcPr>
          <w:p>
            <w:r>
              <w:rPr>
                <w:rFonts w:ascii="Calibri" w:hAnsi="Calibri"/>
                <w:sz w:val="22"/>
              </w:rPr>
              <w:t>N/A</w:t>
            </w:r>
          </w:p>
        </w:tc>
        <w:tc>
          <w:tcPr>
            <w:tcW w:type="dxa" w:w="1728"/>
          </w:tcPr>
          <w:p>
            <w:r>
              <w:rPr>
                <w:rFonts w:ascii="Calibri" w:hAnsi="Calibri"/>
                <w:sz w:val="22"/>
              </w:rPr>
              <w:t>↑ New facility announced June 25, 2026 (8-K); proceeds for general corporate purposes incl. debt repayment. Relevant ahead of $300M bond maturity in Sept 2026.</w:t>
            </w:r>
          </w:p>
        </w:tc>
      </w:tr>
    </w:tbl>
    <w:p>
      <w:r>
        <w:rPr>
          <w:rFonts w:ascii="Calibri" w:hAnsi="Calibri"/>
          <w:i/>
          <w:color w:val="525866"/>
          <w:sz w:val="22"/>
        </w:rPr>
        <w:t>Sources: Q1 2026 Earnings Release (April 29, 2026); Q1 2026 Earnings Call Transcript (April 30, 2026); MAA May 2026 Capital Markets Update (8-K EX-99.1, May 4, 2026); MAA 8-K Term Loan Agreement (June 25,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Core FFO estimates for both 2Q26 and FY26 have drifted modestly lower since Q1 earnings, while same-store revenue and NOI consensus sits below the guidance midpoint — creating a setup where any in-line or better print could prompt upward revisions, particularly if management raises or tightens the FY guidance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Core FFO/Share — 2Q 2026 ($)</w:t>
            </w:r>
          </w:p>
        </w:tc>
        <w:tc>
          <w:tcPr>
            <w:tcW w:type="dxa" w:w="1080"/>
          </w:tcPr>
          <w:p>
            <w:r>
              <w:rPr>
                <w:rFonts w:ascii="Calibri" w:hAnsi="Calibri"/>
                <w:sz w:val="22"/>
              </w:rPr>
              <w:t>$2.08</w:t>
            </w:r>
          </w:p>
        </w:tc>
        <w:tc>
          <w:tcPr>
            <w:tcW w:type="dxa" w:w="1080"/>
          </w:tcPr>
          <w:p>
            <w:r>
              <w:rPr>
                <w:rFonts w:ascii="Calibri" w:hAnsi="Calibri"/>
                <w:sz w:val="22"/>
              </w:rPr>
              <w:t>$2.08</w:t>
            </w:r>
          </w:p>
        </w:tc>
        <w:tc>
          <w:tcPr>
            <w:tcW w:type="dxa" w:w="1080"/>
          </w:tcPr>
          <w:p>
            <w:r>
              <w:rPr>
                <w:rFonts w:ascii="Calibri" w:hAnsi="Calibri"/>
                <w:sz w:val="22"/>
              </w:rPr>
              <w:t>0.0%</w:t>
            </w:r>
          </w:p>
        </w:tc>
        <w:tc>
          <w:tcPr>
            <w:tcW w:type="dxa" w:w="1080"/>
          </w:tcPr>
          <w:p>
            <w:r>
              <w:rPr>
                <w:rFonts w:ascii="Calibri" w:hAnsi="Calibri"/>
                <w:sz w:val="22"/>
              </w:rPr>
              <w:t>$2.00–$2.12 ($2.06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30A46C"/>
                <w:sz w:val="22"/>
              </w:rPr>
              <w:t>+1.0%</w:t>
            </w:r>
          </w:p>
        </w:tc>
      </w:tr>
      <w:tr>
        <w:tc>
          <w:tcPr>
            <w:tcW w:type="dxa" w:w="1080"/>
          </w:tcPr>
          <w:p>
            <w:r>
              <w:rPr>
                <w:rFonts w:ascii="Calibri" w:hAnsi="Calibri"/>
                <w:sz w:val="22"/>
              </w:rPr>
              <w:t>Core FFO/Share — FY 2026 ($)</w:t>
            </w:r>
          </w:p>
        </w:tc>
        <w:tc>
          <w:tcPr>
            <w:tcW w:type="dxa" w:w="1080"/>
          </w:tcPr>
          <w:p>
            <w:r>
              <w:rPr>
                <w:rFonts w:ascii="Calibri" w:hAnsi="Calibri"/>
                <w:sz w:val="22"/>
              </w:rPr>
              <w:t>$8.48</w:t>
            </w:r>
          </w:p>
        </w:tc>
        <w:tc>
          <w:tcPr>
            <w:tcW w:type="dxa" w:w="1080"/>
          </w:tcPr>
          <w:p>
            <w:r>
              <w:rPr>
                <w:rFonts w:ascii="Calibri" w:hAnsi="Calibri"/>
                <w:sz w:val="22"/>
              </w:rPr>
              <w:t>$8.50</w:t>
            </w:r>
          </w:p>
        </w:tc>
        <w:tc>
          <w:tcPr>
            <w:tcW w:type="dxa" w:w="1080"/>
          </w:tcPr>
          <w:p>
            <w:r>
              <w:rPr>
                <w:rFonts w:ascii="Calibri" w:hAnsi="Calibri"/>
                <w:sz w:val="22"/>
              </w:rPr>
              <w:t>+0.2%</w:t>
            </w:r>
          </w:p>
        </w:tc>
        <w:tc>
          <w:tcPr>
            <w:tcW w:type="dxa" w:w="1080"/>
          </w:tcPr>
          <w:p>
            <w:r>
              <w:rPr>
                <w:rFonts w:ascii="Calibri" w:hAnsi="Calibri"/>
                <w:sz w:val="22"/>
              </w:rPr>
              <w:t>$8.37–$8.69 ($8.53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-0.4%</w:t>
            </w:r>
          </w:p>
        </w:tc>
      </w:tr>
      <w:tr>
        <w:tc>
          <w:tcPr>
            <w:tcW w:type="dxa" w:w="1080"/>
          </w:tcPr>
          <w:p>
            <w:r>
              <w:rPr>
                <w:rFonts w:ascii="Calibri" w:hAnsi="Calibri"/>
                <w:sz w:val="22"/>
              </w:rPr>
              <w:t>Blended Lease Rate — 2Q 2026 (%)</w:t>
            </w:r>
          </w:p>
        </w:tc>
        <w:tc>
          <w:tcPr>
            <w:tcW w:type="dxa" w:w="1080"/>
          </w:tcPr>
          <w:p>
            <w:r>
              <w:rPr>
                <w:rFonts w:ascii="Calibri" w:hAnsi="Calibri"/>
                <w:sz w:val="22"/>
              </w:rPr>
              <w:t>-0.12%</w:t>
            </w:r>
          </w:p>
        </w:tc>
        <w:tc>
          <w:tcPr>
            <w:tcW w:type="dxa" w:w="1080"/>
          </w:tcPr>
          <w:p>
            <w:r>
              <w:rPr>
                <w:rFonts w:ascii="Calibri" w:hAnsi="Calibri"/>
                <w:sz w:val="22"/>
              </w:rPr>
              <w:t>+0.87%</w:t>
            </w:r>
          </w:p>
        </w:tc>
        <w:tc>
          <w:tcPr>
            <w:tcW w:type="dxa" w:w="1080"/>
          </w:tcPr>
          <w:p>
            <w:r>
              <w:rPr>
                <w:rFonts w:ascii="Calibri" w:hAnsi="Calibri"/>
                <w:b/>
                <w:color w:val="30A46C"/>
                <w:sz w:val="22"/>
              </w:rPr>
              <w:t>+99 bps</w:t>
            </w:r>
          </w:p>
        </w:tc>
        <w:tc>
          <w:tcPr>
            <w:tcW w:type="dxa" w:w="1080"/>
          </w:tcPr>
          <w:p>
            <w:r>
              <w:rPr>
                <w:rFonts w:ascii="Calibri" w:hAnsi="Calibri"/>
                <w:sz w:val="22"/>
              </w:rPr>
              <w:t>1.0%–1.5% blended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(FY guidance only)</w:t>
            </w:r>
          </w:p>
        </w:tc>
      </w:tr>
      <w:tr>
        <w:tc>
          <w:tcPr>
            <w:tcW w:type="dxa" w:w="1080"/>
          </w:tcPr>
          <w:p>
            <w:r>
              <w:rPr>
                <w:rFonts w:ascii="Calibri" w:hAnsi="Calibri"/>
                <w:sz w:val="22"/>
              </w:rPr>
              <w:t>Blended Lease Rate — FY 2026 (%)</w:t>
            </w:r>
          </w:p>
        </w:tc>
        <w:tc>
          <w:tcPr>
            <w:tcW w:type="dxa" w:w="1080"/>
          </w:tcPr>
          <w:p>
            <w:r>
              <w:rPr>
                <w:rFonts w:ascii="Calibri" w:hAnsi="Calibri"/>
                <w:sz w:val="22"/>
              </w:rPr>
              <w:t>N/A</w:t>
            </w:r>
          </w:p>
        </w:tc>
        <w:tc>
          <w:tcPr>
            <w:tcW w:type="dxa" w:w="1080"/>
          </w:tcPr>
          <w:p>
            <w:r>
              <w:rPr>
                <w:rFonts w:ascii="Calibri" w:hAnsi="Calibri"/>
                <w:sz w:val="22"/>
              </w:rPr>
              <w:t>+0.70%</w:t>
            </w:r>
          </w:p>
        </w:tc>
        <w:tc>
          <w:tcPr>
            <w:tcW w:type="dxa" w:w="1080"/>
          </w:tcPr>
          <w:p>
            <w:r>
              <w:rPr>
                <w:rFonts w:ascii="Calibri" w:hAnsi="Calibri"/>
                <w:sz w:val="22"/>
              </w:rPr>
              <w:t>N/A</w:t>
            </w:r>
          </w:p>
        </w:tc>
        <w:tc>
          <w:tcPr>
            <w:tcW w:type="dxa" w:w="1080"/>
          </w:tcPr>
          <w:p>
            <w:r>
              <w:rPr>
                <w:rFonts w:ascii="Calibri" w:hAnsi="Calibri"/>
                <w:sz w:val="22"/>
              </w:rPr>
              <w:t>1.0%–1.5% (mid 1.25%)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-55 bps</w:t>
            </w:r>
          </w:p>
        </w:tc>
      </w:tr>
      <w:tr>
        <w:tc>
          <w:tcPr>
            <w:tcW w:type="dxa" w:w="1080"/>
          </w:tcPr>
          <w:p>
            <w:r>
              <w:rPr>
                <w:rFonts w:ascii="Calibri" w:hAnsi="Calibri"/>
                <w:sz w:val="22"/>
              </w:rPr>
              <w:t>SS NOI Growth — FY 2026 (%)</w:t>
            </w:r>
          </w:p>
        </w:tc>
        <w:tc>
          <w:tcPr>
            <w:tcW w:type="dxa" w:w="1080"/>
          </w:tcPr>
          <w:p>
            <w:r>
              <w:rPr>
                <w:rFonts w:ascii="Calibri" w:hAnsi="Calibri"/>
                <w:sz w:val="22"/>
              </w:rPr>
              <w:t>-0.75%</w:t>
            </w:r>
          </w:p>
        </w:tc>
        <w:tc>
          <w:tcPr>
            <w:tcW w:type="dxa" w:w="1080"/>
          </w:tcPr>
          <w:p>
            <w:r>
              <w:rPr>
                <w:rFonts w:ascii="Calibri" w:hAnsi="Calibri"/>
                <w:sz w:val="22"/>
              </w:rPr>
              <w:t>-1.08%</w:t>
            </w:r>
          </w:p>
        </w:tc>
        <w:tc>
          <w:tcPr>
            <w:tcW w:type="dxa" w:w="1080"/>
          </w:tcPr>
          <w:p>
            <w:r>
              <w:rPr>
                <w:rFonts w:ascii="Calibri" w:hAnsi="Calibri"/>
                <w:b/>
                <w:color w:val="E5484D"/>
                <w:sz w:val="22"/>
              </w:rPr>
              <w:t>-33 bps</w:t>
            </w:r>
          </w:p>
        </w:tc>
        <w:tc>
          <w:tcPr>
            <w:tcW w:type="dxa" w:w="1080"/>
          </w:tcPr>
          <w:p>
            <w:r>
              <w:rPr>
                <w:rFonts w:ascii="Calibri" w:hAnsi="Calibri"/>
                <w:sz w:val="22"/>
              </w:rPr>
              <w:t>-1.70% to +0.30% (-0.70%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-38 bps</w:t>
            </w:r>
          </w:p>
        </w:tc>
      </w:tr>
      <w:tr>
        <w:tc>
          <w:tcPr>
            <w:tcW w:type="dxa" w:w="1080"/>
          </w:tcPr>
          <w:p>
            <w:r>
              <w:rPr>
                <w:rFonts w:ascii="Calibri" w:hAnsi="Calibri"/>
                <w:sz w:val="22"/>
              </w:rPr>
              <w:t>SS Revenue Growth — FY 2026 (%)</w:t>
            </w:r>
          </w:p>
        </w:tc>
        <w:tc>
          <w:tcPr>
            <w:tcW w:type="dxa" w:w="1080"/>
          </w:tcPr>
          <w:p>
            <w:r>
              <w:rPr>
                <w:rFonts w:ascii="Calibri" w:hAnsi="Calibri"/>
                <w:sz w:val="22"/>
              </w:rPr>
              <w:t>+0.52%</w:t>
            </w:r>
          </w:p>
        </w:tc>
        <w:tc>
          <w:tcPr>
            <w:tcW w:type="dxa" w:w="1080"/>
          </w:tcPr>
          <w:p>
            <w:r>
              <w:rPr>
                <w:rFonts w:ascii="Calibri" w:hAnsi="Calibri"/>
                <w:sz w:val="22"/>
              </w:rPr>
              <w:t>+0.23%</w:t>
            </w:r>
          </w:p>
        </w:tc>
        <w:tc>
          <w:tcPr>
            <w:tcW w:type="dxa" w:w="1080"/>
          </w:tcPr>
          <w:p>
            <w:r>
              <w:rPr>
                <w:rFonts w:ascii="Calibri" w:hAnsi="Calibri"/>
                <w:b/>
                <w:color w:val="E5484D"/>
                <w:sz w:val="22"/>
              </w:rPr>
              <w:t>-29 bps</w:t>
            </w:r>
          </w:p>
        </w:tc>
        <w:tc>
          <w:tcPr>
            <w:tcW w:type="dxa" w:w="1080"/>
          </w:tcPr>
          <w:p>
            <w:r>
              <w:rPr>
                <w:rFonts w:ascii="Calibri" w:hAnsi="Calibri"/>
                <w:sz w:val="22"/>
              </w:rPr>
              <w:t>-0.20% to +1.30% (+0.55%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E5484D"/>
                <w:sz w:val="22"/>
              </w:rPr>
              <w:t>-32 bps</w:t>
            </w:r>
          </w:p>
        </w:tc>
      </w:tr>
    </w:tbl>
    <w:p>
      <w:r>
        <w:rPr>
          <w:rFonts w:ascii="Calibri" w:hAnsi="Calibri"/>
          <w:i/>
          <w:color w:val="525866"/>
          <w:sz w:val="22"/>
        </w:rPr>
        <w:t>The key divergence: blended lease rate consensus for 2Q26 has been revised sharply higher (+99 bps) since Q1 earnings, reflecting management's May Nareit commentary, yet FY26 blended consensus (+0.70%) still sits 55 bps below the guidance midpoint — suggesting the street is not yet fully extrapolating the May momentum into the back half. If 2Q26 blended rates print at or above the +0.87% consensus, expect upward FY26 revisions.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MAA has underperformed both REZ (residential REIT ETF) and the S&amp;P 500 since the April 29 print, with the stock up only ~+4.6% vs. REZ +11.3% and SPY +4.1% — suggesting MAA-specific multiple compression rather than sector-wide weakness, likely reflecting investor skepticism on the pace of new lease rate recovery.</w:t>
      </w:r>
    </w:p>
    <w:p>
      <w:r>
        <w:rPr>
          <w:rFonts w:ascii="Calibri" w:hAnsi="Calibri"/>
          <w:color w:val="525866"/>
          <w:sz w:val="22"/>
        </w:rPr>
        <w:t>Since the Q1 2026 earnings date (April 29, 2026), MAA closed at $129.71 and as of July 29, 2026 trades at $135.64, a gain of approximately +4.6%. Over the same period, REZ (iShares Residential and Multisector Real Estate ETF) rose from $89.02 to $99.05 (+11.3%), and SPY rose from $711.58 to $740.86 (+4.1%). MAA's underperformance vs. REZ is notable: the residential REIT sector broadly re-rated higher as supply moderation data improved, but MAA — with its heavier Sunbelt exposure and laggard markets (Charlotte, Austin) — did not fully participate. The stock did rally sharply in early June (from ~$128 to ~$140 by June 26) coinciding with the Nareit conference and management's bullish May leasing commentary, before pulling back to the $131–$136 range in July as peers (EQR, AVB, UDR) reported mixed Sunbelt results. The NTM EV/EBITDA multiple has compressed from ~16.95x one month ago to ~16.49x today, consistent with the stock's recent softness. Source: Stock price data (Yahoo Finance); valuation data (stock performance decomposition).</w:t>
      </w:r>
    </w:p>
    <w:p>
      <w:r>
        <w:rPr>
          <w:rFonts w:ascii="Calibri" w:hAnsi="Calibri"/>
          <w:b/>
          <w:color w:val="525866"/>
          <w:sz w:val="22"/>
        </w:rPr>
        <w:t xml:space="preserve">Note: </w:t>
      </w:r>
      <w:r>
        <w:rPr>
          <w:rFonts w:ascii="Calibri" w:hAnsi="Calibri"/>
          <w:i/>
          <w:color w:val="525866"/>
          <w:sz w:val="22"/>
        </w:rPr>
        <w:t>The indexed performance chart (MAA vs. REZ vs. SPY, base = 100 at April 29, 2026) is embedded below. REZ (iShares Residential and Multisector Real Estate ETF) is used as the sector proxy, appropriate for MAA's multifamily REIT sub-sector. Key events marked: May 4 Capital Markets Update 8-K; June 3 Nareit REITweek Conference; June 25 $350M DDTL Term Loan 8-K.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MAA (Indexed)</w:t>
            </w:r>
          </w:p>
        </w:tc>
        <w:tc>
          <w:tcPr>
            <w:tcW w:type="dxa" w:w="1728"/>
            <w:shd w:val="clear" w:color="auto" w:fill="3B4259"/>
          </w:tcPr>
          <w:p>
            <w:r>
              <w:rPr>
                <w:rFonts w:ascii="Calibri" w:hAnsi="Calibri"/>
                <w:b/>
                <w:color w:val="FFFFFF"/>
                <w:sz w:val="22"/>
              </w:rPr>
              <w:t>REZ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Event</w:t>
            </w:r>
          </w:p>
        </w:tc>
      </w:tr>
      <w:tr>
        <w:tc>
          <w:tcPr>
            <w:tcW w:type="dxa" w:w="1728"/>
          </w:tcPr>
          <w:p>
            <w:r>
              <w:rPr>
                <w:rFonts w:ascii="Calibri" w:hAnsi="Calibri"/>
                <w:sz w:val="22"/>
              </w:rPr>
              <w:t>Apr 29, 2026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w:t>
            </w:r>
          </w:p>
        </w:tc>
      </w:tr>
      <w:tr>
        <w:tc>
          <w:tcPr>
            <w:tcW w:type="dxa" w:w="1728"/>
          </w:tcPr>
          <w:p>
            <w:r>
              <w:rPr>
                <w:rFonts w:ascii="Calibri" w:hAnsi="Calibri"/>
                <w:sz w:val="22"/>
              </w:rPr>
              <w:t>May 4, 2026</w:t>
            </w:r>
          </w:p>
        </w:tc>
        <w:tc>
          <w:tcPr>
            <w:tcW w:type="dxa" w:w="1728"/>
          </w:tcPr>
          <w:p>
            <w:r>
              <w:rPr>
                <w:rFonts w:ascii="Calibri" w:hAnsi="Calibri"/>
                <w:sz w:val="22"/>
              </w:rPr>
              <w:t>99.5</w:t>
            </w:r>
          </w:p>
        </w:tc>
        <w:tc>
          <w:tcPr>
            <w:tcW w:type="dxa" w:w="1728"/>
          </w:tcPr>
          <w:p>
            <w:r>
              <w:rPr>
                <w:rFonts w:ascii="Calibri" w:hAnsi="Calibri"/>
                <w:sz w:val="22"/>
              </w:rPr>
              <w:t>100.7</w:t>
            </w:r>
          </w:p>
        </w:tc>
        <w:tc>
          <w:tcPr>
            <w:tcW w:type="dxa" w:w="1728"/>
          </w:tcPr>
          <w:p>
            <w:r>
              <w:rPr>
                <w:rFonts w:ascii="Calibri" w:hAnsi="Calibri"/>
                <w:sz w:val="22"/>
              </w:rPr>
              <w:t>100.9</w:t>
            </w:r>
          </w:p>
        </w:tc>
        <w:tc>
          <w:tcPr>
            <w:tcW w:type="dxa" w:w="1728"/>
          </w:tcPr>
          <w:p>
            <w:r>
              <w:rPr>
                <w:rFonts w:ascii="Calibri" w:hAnsi="Calibri"/>
                <w:sz w:val="22"/>
              </w:rPr>
              <w:t>Capital Markets Update 8-K</w:t>
            </w:r>
          </w:p>
        </w:tc>
      </w:tr>
      <w:tr>
        <w:tc>
          <w:tcPr>
            <w:tcW w:type="dxa" w:w="1728"/>
          </w:tcPr>
          <w:p>
            <w:r>
              <w:rPr>
                <w:rFonts w:ascii="Calibri" w:hAnsi="Calibri"/>
                <w:sz w:val="22"/>
              </w:rPr>
              <w:t>May 15, 2026</w:t>
            </w:r>
          </w:p>
        </w:tc>
        <w:tc>
          <w:tcPr>
            <w:tcW w:type="dxa" w:w="1728"/>
          </w:tcPr>
          <w:p>
            <w:r>
              <w:rPr>
                <w:rFonts w:ascii="Calibri" w:hAnsi="Calibri"/>
                <w:sz w:val="22"/>
              </w:rPr>
              <w:t>96.9</w:t>
            </w:r>
          </w:p>
        </w:tc>
        <w:tc>
          <w:tcPr>
            <w:tcW w:type="dxa" w:w="1728"/>
          </w:tcPr>
          <w:p>
            <w:r>
              <w:rPr>
                <w:rFonts w:ascii="Calibri" w:hAnsi="Calibri"/>
                <w:sz w:val="22"/>
              </w:rPr>
              <w:t>100.4</w:t>
            </w:r>
          </w:p>
        </w:tc>
        <w:tc>
          <w:tcPr>
            <w:tcW w:type="dxa" w:w="1728"/>
          </w:tcPr>
          <w:p>
            <w:r>
              <w:rPr>
                <w:rFonts w:ascii="Calibri" w:hAnsi="Calibri"/>
                <w:sz w:val="22"/>
              </w:rPr>
              <w:t>103.9</w:t>
            </w:r>
          </w:p>
        </w:tc>
        <w:tc>
          <w:tcPr>
            <w:tcW w:type="dxa" w:w="1728"/>
          </w:tcPr>
          <w:p>
            <w:r>
              <w:rPr>
                <w:rFonts w:ascii="Calibri" w:hAnsi="Calibri"/>
                <w:sz w:val="22"/>
              </w:rPr>
              <w:t>—</w:t>
            </w:r>
          </w:p>
        </w:tc>
      </w:tr>
      <w:tr>
        <w:tc>
          <w:tcPr>
            <w:tcW w:type="dxa" w:w="1728"/>
          </w:tcPr>
          <w:p>
            <w:r>
              <w:rPr>
                <w:rFonts w:ascii="Calibri" w:hAnsi="Calibri"/>
                <w:sz w:val="22"/>
              </w:rPr>
              <w:t>Jun 3, 2026</w:t>
            </w:r>
          </w:p>
        </w:tc>
        <w:tc>
          <w:tcPr>
            <w:tcW w:type="dxa" w:w="1728"/>
          </w:tcPr>
          <w:p>
            <w:r>
              <w:rPr>
                <w:rFonts w:ascii="Calibri" w:hAnsi="Calibri"/>
                <w:sz w:val="22"/>
              </w:rPr>
              <w:t>102.2</w:t>
            </w:r>
          </w:p>
        </w:tc>
        <w:tc>
          <w:tcPr>
            <w:tcW w:type="dxa" w:w="1728"/>
          </w:tcPr>
          <w:p>
            <w:r>
              <w:rPr>
                <w:rFonts w:ascii="Calibri" w:hAnsi="Calibri"/>
                <w:sz w:val="22"/>
              </w:rPr>
              <w:t>99.2</w:t>
            </w:r>
          </w:p>
        </w:tc>
        <w:tc>
          <w:tcPr>
            <w:tcW w:type="dxa" w:w="1728"/>
          </w:tcPr>
          <w:p>
            <w:r>
              <w:rPr>
                <w:rFonts w:ascii="Calibri" w:hAnsi="Calibri"/>
                <w:sz w:val="22"/>
              </w:rPr>
              <w:t>106.0</w:t>
            </w:r>
          </w:p>
        </w:tc>
        <w:tc>
          <w:tcPr>
            <w:tcW w:type="dxa" w:w="1728"/>
          </w:tcPr>
          <w:p>
            <w:r>
              <w:rPr>
                <w:rFonts w:ascii="Calibri" w:hAnsi="Calibri"/>
                <w:sz w:val="22"/>
              </w:rPr>
              <w:t>Nareit REITweek Conference</w:t>
            </w:r>
          </w:p>
        </w:tc>
      </w:tr>
      <w:tr>
        <w:tc>
          <w:tcPr>
            <w:tcW w:type="dxa" w:w="1728"/>
          </w:tcPr>
          <w:p>
            <w:r>
              <w:rPr>
                <w:rFonts w:ascii="Calibri" w:hAnsi="Calibri"/>
                <w:sz w:val="22"/>
              </w:rPr>
              <w:t>Jun 25, 2026</w:t>
            </w:r>
          </w:p>
        </w:tc>
        <w:tc>
          <w:tcPr>
            <w:tcW w:type="dxa" w:w="1728"/>
          </w:tcPr>
          <w:p>
            <w:r>
              <w:rPr>
                <w:rFonts w:ascii="Calibri" w:hAnsi="Calibri"/>
                <w:sz w:val="22"/>
              </w:rPr>
              <w:t>106.5</w:t>
            </w:r>
          </w:p>
        </w:tc>
        <w:tc>
          <w:tcPr>
            <w:tcW w:type="dxa" w:w="1728"/>
          </w:tcPr>
          <w:p>
            <w:r>
              <w:rPr>
                <w:rFonts w:ascii="Calibri" w:hAnsi="Calibri"/>
                <w:sz w:val="22"/>
              </w:rPr>
              <w:t>105.0</w:t>
            </w:r>
          </w:p>
        </w:tc>
        <w:tc>
          <w:tcPr>
            <w:tcW w:type="dxa" w:w="1728"/>
          </w:tcPr>
          <w:p>
            <w:r>
              <w:rPr>
                <w:rFonts w:ascii="Calibri" w:hAnsi="Calibri"/>
                <w:sz w:val="22"/>
              </w:rPr>
              <w:t>103.2</w:t>
            </w:r>
          </w:p>
        </w:tc>
        <w:tc>
          <w:tcPr>
            <w:tcW w:type="dxa" w:w="1728"/>
          </w:tcPr>
          <w:p>
            <w:r>
              <w:rPr>
                <w:rFonts w:ascii="Calibri" w:hAnsi="Calibri"/>
                <w:sz w:val="22"/>
              </w:rPr>
              <w:t>$350M DDTL Term Loan 8-K</w:t>
            </w:r>
          </w:p>
        </w:tc>
      </w:tr>
      <w:tr>
        <w:tc>
          <w:tcPr>
            <w:tcW w:type="dxa" w:w="1728"/>
          </w:tcPr>
          <w:p>
            <w:r>
              <w:rPr>
                <w:rFonts w:ascii="Calibri" w:hAnsi="Calibri"/>
                <w:sz w:val="22"/>
              </w:rPr>
              <w:t>Jul 8, 2026</w:t>
            </w:r>
          </w:p>
        </w:tc>
        <w:tc>
          <w:tcPr>
            <w:tcW w:type="dxa" w:w="1728"/>
          </w:tcPr>
          <w:p>
            <w:r>
              <w:rPr>
                <w:rFonts w:ascii="Calibri" w:hAnsi="Calibri"/>
                <w:sz w:val="22"/>
              </w:rPr>
              <w:t>106.3</w:t>
            </w:r>
          </w:p>
        </w:tc>
        <w:tc>
          <w:tcPr>
            <w:tcW w:type="dxa" w:w="1728"/>
          </w:tcPr>
          <w:p>
            <w:r>
              <w:rPr>
                <w:rFonts w:ascii="Calibri" w:hAnsi="Calibri"/>
                <w:sz w:val="22"/>
              </w:rPr>
              <w:t>107.4</w:t>
            </w:r>
          </w:p>
        </w:tc>
        <w:tc>
          <w:tcPr>
            <w:tcW w:type="dxa" w:w="1728"/>
          </w:tcPr>
          <w:p>
            <w:r>
              <w:rPr>
                <w:rFonts w:ascii="Calibri" w:hAnsi="Calibri"/>
                <w:sz w:val="22"/>
              </w:rPr>
              <w:t>104.7</w:t>
            </w:r>
          </w:p>
        </w:tc>
        <w:tc>
          <w:tcPr>
            <w:tcW w:type="dxa" w:w="1728"/>
          </w:tcPr>
          <w:p>
            <w:r>
              <w:rPr>
                <w:rFonts w:ascii="Calibri" w:hAnsi="Calibri"/>
                <w:sz w:val="22"/>
              </w:rPr>
              <w:t>Peer earnings season begins (EQR, AVB, UDR)</w:t>
            </w:r>
          </w:p>
        </w:tc>
      </w:tr>
      <w:tr>
        <w:tc>
          <w:tcPr>
            <w:tcW w:type="dxa" w:w="1728"/>
          </w:tcPr>
          <w:p>
            <w:r>
              <w:rPr>
                <w:rFonts w:ascii="Calibri" w:hAnsi="Calibri"/>
                <w:sz w:val="22"/>
              </w:rPr>
              <w:t>Jul 29, 2026</w:t>
            </w:r>
          </w:p>
        </w:tc>
        <w:tc>
          <w:tcPr>
            <w:tcW w:type="dxa" w:w="1728"/>
          </w:tcPr>
          <w:p>
            <w:r>
              <w:rPr>
                <w:rFonts w:ascii="Calibri" w:hAnsi="Calibri"/>
                <w:sz w:val="22"/>
              </w:rPr>
              <w:t>104.6</w:t>
            </w:r>
          </w:p>
        </w:tc>
        <w:tc>
          <w:tcPr>
            <w:tcW w:type="dxa" w:w="1728"/>
          </w:tcPr>
          <w:p>
            <w:r>
              <w:rPr>
                <w:rFonts w:ascii="Calibri" w:hAnsi="Calibri"/>
                <w:sz w:val="22"/>
              </w:rPr>
              <w:t>111.3</w:t>
            </w:r>
          </w:p>
        </w:tc>
        <w:tc>
          <w:tcPr>
            <w:tcW w:type="dxa" w:w="1728"/>
          </w:tcPr>
          <w:p>
            <w:r>
              <w:rPr>
                <w:rFonts w:ascii="Calibri" w:hAnsi="Calibri"/>
                <w:sz w:val="22"/>
              </w:rPr>
              <w:t>104.1</w:t>
            </w:r>
          </w:p>
        </w:tc>
        <w:tc>
          <w:tcPr>
            <w:tcW w:type="dxa" w:w="1728"/>
          </w:tcPr>
          <w:p>
            <w:r>
              <w:rPr>
                <w:rFonts w:ascii="Calibri" w:hAnsi="Calibri"/>
                <w:sz w:val="22"/>
              </w:rPr>
              <w:t>Day before MAA 2Q26 earnings</w:t>
            </w:r>
          </w:p>
        </w:tc>
      </w:tr>
    </w:tbl>
    <w:p>
      <w:r>
        <w:rPr>
          <w:rFonts w:ascii="Calibri" w:hAnsi="Calibri"/>
          <w:i/>
          <w:color w:val="525866"/>
          <w:sz w:val="22"/>
        </w:rPr>
        <w:t>Source: Yahoo Finance stock price data. Indexed values computed as (Close / Apr 29 Close) × 100. REZ = iShares Residential and Multisector Real Estate ETF (multifamily REIT sector proxy). SPY = SPDR S&amp;P 500 ETF.</w:t>
      </w:r>
    </w:p>
    <w:p>
      <w:r>
        <w:rPr>
          <w:i/>
        </w:rPr>
        <w:t>[Image not found: gs://lum-production-user-data-store/conversations/conv_01k7wr0aqhfbhbhqhqhqhqhqhq/plotly_charts/stock_performance.json]</w:t>
      </w:r>
    </w:p>
    <w:p>
      <w:pPr>
        <w:jc w:val="center"/>
      </w:pPr>
      <w:r>
        <w:rPr>
          <w:i/>
          <w:color w:val="666666"/>
          <w:sz w:val="18"/>
        </w:rPr>
        <w:t>MAA vs. REZ vs. S&amp;P 500 — Indexed Performance Since April 29, 2026 (Q1 2026 Earnings Date). Base = 100. Key events: (1) May 4: Capital Markets Update 8-K; (2) June 3: Nareit REITweek Conference; (3) June 25: $350M DDTL Term Loan 8-K. Source: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June 3 Nareit conference, where management disclosed May blended lease rates at a near two-year high with momentum continuing — a direct read-through to 2Q26 performance. The June 25 $350M DDTL facility is the key balance sheet event, providing liquidity ahead of the September $300M bond maturity.</w:t>
      </w:r>
    </w:p>
    <w:p>
      <w:pPr>
        <w:pStyle w:val="ListBullet"/>
        <w:ind w:left="360" w:hanging="360"/>
      </w:pPr>
      <w:r>
        <w:rPr>
          <w:rFonts w:ascii="Calibri" w:hAnsi="Calibri"/>
          <w:b/>
          <w:color w:val="525866"/>
          <w:sz w:val="22"/>
        </w:rPr>
        <w:t xml:space="preserve">June 3, 2026 — Nareit REITweek Investor Conference (Bullish Leasing Update): </w:t>
      </w:r>
      <w:r>
        <w:rPr>
          <w:rFonts w:ascii="Calibri" w:hAnsi="Calibri"/>
          <w:color w:val="525866"/>
          <w:sz w:val="22"/>
        </w:rPr>
        <w:t xml:space="preserve">CEO Brad Hill disclosed that May blended lease-over-lease rates were up ~140 bps from Q1 and new lease rates up ~240 bps from Q1, with average blended pricing at the highest level in nearly two years. Management expressed greater optimism than at the 2025 Nareit conference, citing supply deliveries down ~40% YoY and ~60% from two years ago, and the absence of the mid-May stall seen in 2025. Market-level occupancies confirmed back in line with pre-supply-impact historical averages; concession usage beginning to decline in select markets. </w:t>
      </w:r>
      <w:r>
        <w:rPr>
          <w:rFonts w:ascii="Calibri" w:hAnsi="Calibri"/>
          <w:i/>
          <w:color w:val="525866"/>
          <w:sz w:val="22"/>
        </w:rPr>
        <w:t xml:space="preserve">Implication: </w:t>
      </w:r>
      <w:r>
        <w:rPr>
          <w:rFonts w:ascii="Calibri" w:hAnsi="Calibri"/>
          <w:i/>
          <w:color w:val="525866"/>
          <w:sz w:val="22"/>
        </w:rPr>
        <w:t>Strongest intra-quarter leasing signal since the supply cycle began; sets a high bar for 2Q26 blended lease rate consensus of +0.87%.</w:t>
      </w:r>
    </w:p>
    <w:p>
      <w:pPr>
        <w:pStyle w:val="ListBullet"/>
        <w:ind w:left="360" w:hanging="360"/>
      </w:pPr>
      <w:r>
        <w:rPr>
          <w:rFonts w:ascii="Calibri" w:hAnsi="Calibri"/>
          <w:b/>
          <w:color w:val="525866"/>
          <w:sz w:val="22"/>
        </w:rPr>
        <w:t xml:space="preserve">June 25, 2026 — $350M Unsecured Delayed Draw Term Loan (8-K): </w:t>
      </w:r>
      <w:r>
        <w:rPr>
          <w:rFonts w:ascii="Calibri" w:hAnsi="Calibri"/>
          <w:color w:val="525866"/>
          <w:sz w:val="22"/>
        </w:rPr>
        <w:t xml:space="preserve">MAA Operating Partnership secured a new $350M DDTL facility (up to $550M with accordion) maturing November 2030, with KeyBank as administrative agent. Proceeds designated for general corporate purposes including debt repayment. Commitment available through December 21, 2026; interest at SOFR + 0.675%–1.55% based on credit rating. </w:t>
      </w:r>
      <w:r>
        <w:rPr>
          <w:rFonts w:ascii="Calibri" w:hAnsi="Calibri"/>
          <w:i/>
          <w:color w:val="525866"/>
          <w:sz w:val="22"/>
        </w:rPr>
        <w:t xml:space="preserve">Implication: </w:t>
      </w:r>
      <w:r>
        <w:rPr>
          <w:rFonts w:ascii="Calibri" w:hAnsi="Calibri"/>
          <w:i/>
          <w:color w:val="525866"/>
          <w:sz w:val="22"/>
        </w:rPr>
        <w:t>Provides liquidity runway ahead of the $300M/1.2% bond maturing in September 2026; watch for any incremental interest expense commentary on the 2Q26 call.</w:t>
      </w:r>
    </w:p>
    <w:p>
      <w:pPr>
        <w:pStyle w:val="ListBullet"/>
        <w:ind w:left="360" w:hanging="360"/>
      </w:pPr>
      <w:r>
        <w:rPr>
          <w:rFonts w:ascii="Calibri" w:hAnsi="Calibri"/>
          <w:b/>
          <w:color w:val="525866"/>
          <w:sz w:val="22"/>
        </w:rPr>
        <w:t xml:space="preserve">May 4, 2026 — Capital Markets Strategy Presentation (8-K EX-99.1): </w:t>
      </w:r>
      <w:r>
        <w:rPr>
          <w:rFonts w:ascii="Calibri" w:hAnsi="Calibri"/>
          <w:color w:val="525866"/>
          <w:sz w:val="22"/>
        </w:rPr>
        <w:t xml:space="preserve">MAA filed a comprehensive capital markets update reaffirming FY26 Core FFO guidance midpoint of $8.53 and 2Q26 midpoint of $2.06. Confirmed April occupancy at 95.5%, blended pricing improving sequentially through April. Highlighted development pipeline at ~$700M (targeting $1B–$1.2B), unit redevelopment program targeting 6,400–7,400 units in 2026 at ~20% cash-on-cash returns, and Reimagine operating platform pilot in 3 markets targeting $25M+ incremental NOI over 2.5–3 years. </w:t>
      </w:r>
      <w:r>
        <w:rPr>
          <w:rFonts w:ascii="Calibri" w:hAnsi="Calibri"/>
          <w:i/>
          <w:color w:val="525866"/>
          <w:sz w:val="22"/>
        </w:rPr>
        <w:t xml:space="preserve">Implication: </w:t>
      </w:r>
      <w:r>
        <w:rPr>
          <w:rFonts w:ascii="Calibri" w:hAnsi="Calibri"/>
          <w:i/>
          <w:color w:val="525866"/>
          <w:sz w:val="22"/>
        </w:rPr>
        <w:t>Confirmed guidance and provided detailed roadmap for multiple NOI growth drivers beyond the organic supply/demand recovery.</w:t>
      </w:r>
    </w:p>
    <w:p>
      <w:pPr>
        <w:pStyle w:val="ListBullet"/>
        <w:ind w:left="360" w:hanging="360"/>
      </w:pPr>
      <w:r>
        <w:rPr>
          <w:rFonts w:ascii="Calibri" w:hAnsi="Calibri"/>
          <w:b/>
          <w:color w:val="525866"/>
          <w:sz w:val="22"/>
        </w:rPr>
        <w:t xml:space="preserve">April 2026 — Nashville Land Acquisition (Pre-Purchase Development Program): </w:t>
      </w:r>
      <w:r>
        <w:rPr>
          <w:rFonts w:ascii="Calibri" w:hAnsi="Calibri"/>
          <w:color w:val="525866"/>
          <w:sz w:val="22"/>
        </w:rPr>
        <w:t xml:space="preserve">MAA closed on a land parcel in Nashville for a planned 312-unit multifamily community, adding to the development pipeline. Combined with the Kansas City start (April 2026, 263 units) and Northern Virginia acquisition (January 2026, 287 units), MAA is actively expanding its pipeline toward the $1B–$1.2B target. </w:t>
      </w:r>
      <w:r>
        <w:rPr>
          <w:rFonts w:ascii="Calibri" w:hAnsi="Calibri"/>
          <w:i/>
          <w:color w:val="525866"/>
          <w:sz w:val="22"/>
        </w:rPr>
        <w:t xml:space="preserve">Implication: </w:t>
      </w:r>
      <w:r>
        <w:rPr>
          <w:rFonts w:ascii="Calibri" w:hAnsi="Calibri"/>
          <w:i/>
          <w:color w:val="525866"/>
          <w:sz w:val="22"/>
        </w:rPr>
        <w:t>Development spend tracking toward the $350M FY26 midpoint; watch for any new start announcements on the 2Q26 call (management guided 4 starts for the year).</w:t>
      </w:r>
    </w:p>
    <w:p>
      <w:pPr>
        <w:pStyle w:val="ListBullet"/>
        <w:ind w:left="360" w:hanging="360"/>
      </w:pPr>
      <w:r>
        <w:rPr>
          <w:rFonts w:ascii="Calibri" w:hAnsi="Calibri"/>
          <w:b/>
          <w:color w:val="525866"/>
          <w:sz w:val="22"/>
        </w:rPr>
        <w:t xml:space="preserve">July 1, 2026 — 2Q26 Earnings Date Announcement (Press Release): </w:t>
      </w:r>
      <w:r>
        <w:rPr>
          <w:rFonts w:ascii="Calibri" w:hAnsi="Calibri"/>
          <w:color w:val="525866"/>
          <w:sz w:val="22"/>
        </w:rPr>
        <w:t xml:space="preserve">MAA announced the July 30, 2026 earnings release and conference call date, confirming the reporting schedule. No operational updates included. </w:t>
      </w:r>
      <w:r>
        <w:rPr>
          <w:rFonts w:ascii="Calibri" w:hAnsi="Calibri"/>
          <w:i/>
          <w:color w:val="525866"/>
          <w:sz w:val="22"/>
        </w:rPr>
        <w:t xml:space="preserve">Implication: </w:t>
      </w:r>
      <w:r>
        <w:rPr>
          <w:rFonts w:ascii="Calibri" w:hAnsi="Calibri"/>
          <w:i/>
          <w:color w:val="525866"/>
          <w:sz w:val="22"/>
        </w:rPr>
        <w:t>Routine; no read-through.</w:t>
      </w:r>
    </w:p>
    <w:p>
      <w:pPr>
        <w:pStyle w:val="ListBullet"/>
        <w:ind w:left="360" w:hanging="360"/>
      </w:pPr>
      <w:r>
        <w:rPr>
          <w:rFonts w:ascii="Calibri" w:hAnsi="Calibri"/>
          <w:b/>
          <w:color w:val="525866"/>
          <w:sz w:val="22"/>
        </w:rPr>
        <w:t xml:space="preserve">Peer Sector — EQR/AVB Merger Announced May 21, 2026: </w:t>
      </w:r>
      <w:r>
        <w:rPr>
          <w:rFonts w:ascii="Calibri" w:hAnsi="Calibri"/>
          <w:color w:val="525866"/>
          <w:sz w:val="22"/>
        </w:rPr>
        <w:t xml:space="preserve">Equity Residential and AvalonBay announced an all-stock merger of equals creating a ~$53B equity market cap / ~$71B enterprise value entity with 180,000+ apartments. Both companies suspended FFO/EPS guidance due to merger pendency; EQR raised same-store revenue and NOI guidance for standalone 2026. </w:t>
      </w:r>
      <w:r>
        <w:rPr>
          <w:rFonts w:ascii="Calibri" w:hAnsi="Calibri"/>
          <w:i/>
          <w:color w:val="525866"/>
          <w:sz w:val="22"/>
        </w:rPr>
        <w:t xml:space="preserve">Implication: </w:t>
      </w:r>
      <w:r>
        <w:rPr>
          <w:rFonts w:ascii="Calibri" w:hAnsi="Calibri"/>
          <w:i/>
          <w:color w:val="525866"/>
          <w:sz w:val="22"/>
        </w:rPr>
        <w:t>Consolidation of two major coastal-focused peers reduces competitive noise in the sector; MAA remains the dominant pure-play Sunbelt multifamily REIT. Could attract incremental investor interest in MAA as a clean Sunbelt proxy.</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Activity is minimal and not directionally alarming — one director made a modest open-market purchase ($143K) in May, while the EVP of Investments made a small discretionary sale (350 shares). No clustered selling or unusual transaction sizes; the director buy is a mild positive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Tamara D. Fischer</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1,100</w:t>
            </w:r>
          </w:p>
        </w:tc>
        <w:tc>
          <w:tcPr>
            <w:tcW w:type="dxa" w:w="1234"/>
          </w:tcPr>
          <w:p>
            <w:r>
              <w:rPr>
                <w:rFonts w:ascii="Calibri" w:hAnsi="Calibri"/>
                <w:sz w:val="22"/>
              </w:rPr>
              <w:t>~$143K</w:t>
            </w:r>
          </w:p>
        </w:tc>
        <w:tc>
          <w:tcPr>
            <w:tcW w:type="dxa" w:w="1234"/>
          </w:tcPr>
          <w:p>
            <w:r>
              <w:rPr>
                <w:rFonts w:ascii="Calibri" w:hAnsi="Calibri"/>
                <w:sz w:val="22"/>
              </w:rPr>
              <w:t>May 21, 2026</w:t>
            </w:r>
          </w:p>
        </w:tc>
        <w:tc>
          <w:tcPr>
            <w:tcW w:type="dxa" w:w="1234"/>
          </w:tcPr>
          <w:p>
            <w:r>
              <w:rPr>
                <w:rFonts w:ascii="Calibri" w:hAnsi="Calibri"/>
                <w:sz w:val="22"/>
              </w:rPr>
              <w:t>Discretionary open-market purchase; no 10b5-1 plan. Mild positive signal at ~$130 stock price.</w:t>
            </w:r>
          </w:p>
        </w:tc>
      </w:tr>
      <w:tr>
        <w:tc>
          <w:tcPr>
            <w:tcW w:type="dxa" w:w="1234"/>
          </w:tcPr>
          <w:p>
            <w:r>
              <w:rPr>
                <w:rFonts w:ascii="Calibri" w:hAnsi="Calibri"/>
                <w:sz w:val="22"/>
              </w:rPr>
              <w:t>James Barton French</w:t>
            </w:r>
          </w:p>
        </w:tc>
        <w:tc>
          <w:tcPr>
            <w:tcW w:type="dxa" w:w="1234"/>
          </w:tcPr>
          <w:p>
            <w:r>
              <w:rPr>
                <w:rFonts w:ascii="Calibri" w:hAnsi="Calibri"/>
                <w:sz w:val="22"/>
              </w:rPr>
              <w:t>EVP, Investments</w:t>
            </w:r>
          </w:p>
        </w:tc>
        <w:tc>
          <w:tcPr>
            <w:tcW w:type="dxa" w:w="1234"/>
          </w:tcPr>
          <w:p>
            <w:r>
              <w:rPr>
                <w:rFonts w:ascii="Calibri" w:hAnsi="Calibri"/>
                <w:b/>
                <w:color w:val="E5484D"/>
                <w:sz w:val="22"/>
              </w:rPr>
              <w:t>Open Market Sale</w:t>
            </w:r>
          </w:p>
        </w:tc>
        <w:tc>
          <w:tcPr>
            <w:tcW w:type="dxa" w:w="1234"/>
          </w:tcPr>
          <w:p>
            <w:r>
              <w:rPr>
                <w:rFonts w:ascii="Calibri" w:hAnsi="Calibri"/>
                <w:sz w:val="22"/>
              </w:rPr>
              <w:t>350</w:t>
            </w:r>
          </w:p>
        </w:tc>
        <w:tc>
          <w:tcPr>
            <w:tcW w:type="dxa" w:w="1234"/>
          </w:tcPr>
          <w:p>
            <w:r>
              <w:rPr>
                <w:rFonts w:ascii="Calibri" w:hAnsi="Calibri"/>
                <w:sz w:val="22"/>
              </w:rPr>
              <w:t>~$46K</w:t>
            </w:r>
          </w:p>
        </w:tc>
        <w:tc>
          <w:tcPr>
            <w:tcW w:type="dxa" w:w="1234"/>
          </w:tcPr>
          <w:p>
            <w:r>
              <w:rPr>
                <w:rFonts w:ascii="Calibri" w:hAnsi="Calibri"/>
                <w:sz w:val="22"/>
              </w:rPr>
              <w:t>May 8, 2026</w:t>
            </w:r>
          </w:p>
        </w:tc>
        <w:tc>
          <w:tcPr>
            <w:tcW w:type="dxa" w:w="1234"/>
          </w:tcPr>
          <w:p>
            <w:r>
              <w:rPr>
                <w:rFonts w:ascii="Calibri" w:hAnsi="Calibri"/>
                <w:sz w:val="22"/>
              </w:rPr>
              <w:t>Small discretionary sale; no 10b5-1 plan disclosed. Immaterial size relative to 8,158 shares retained post-transaction.</w:t>
            </w:r>
          </w:p>
        </w:tc>
      </w:tr>
    </w:tbl>
    <w:p>
      <w:r>
        <w:rPr>
          <w:rFonts w:ascii="Calibri" w:hAnsi="Calibri"/>
          <w:i/>
          <w:color w:val="525866"/>
          <w:sz w:val="22"/>
        </w:rPr>
        <w:t>Source: SEC Form 4 filings. Est. value computed using approximate stock price at transaction date (~$130 for Fischer, ~$130 for French). No Form 144 filings identified in the period.</w:t>
      </w:r>
    </w:p>
    <w:p>
      <w:r>
        <w:br w:type="page"/>
      </w:r>
    </w:p>
    <w:p>
      <w:pPr>
        <w:pStyle w:val="Heading2"/>
      </w:pPr>
      <w:r>
        <w:rPr>
          <w:rFonts w:ascii="Calibri" w:hAnsi="Calibri"/>
          <w:b/>
          <w:color w:val="3B4259"/>
          <w:sz w:val="28"/>
        </w:rPr>
        <w:t>8. Peer Commentary &amp; Read-Throughs (Last 60 Days: May 29 – July 29, 2026)</w:t>
      </w:r>
    </w:p>
    <w:p>
      <w:r>
        <w:rPr>
          <w:rFonts w:ascii="Calibri" w:hAnsi="Calibri"/>
          <w:b/>
          <w:color w:val="525866"/>
          <w:sz w:val="22"/>
        </w:rPr>
        <w:t xml:space="preserve">Key Takeaway: </w:t>
      </w:r>
      <w:r>
        <w:rPr>
          <w:rFonts w:ascii="Calibri" w:hAnsi="Calibri"/>
          <w:color w:val="525866"/>
          <w:sz w:val="22"/>
        </w:rPr>
        <w:t>Peers reporting 2Q26 results (EQR July 22, AVB July 22, UDR July 27–28) collectively confirm the supply moderation thesis and strong demand fundamentals, but the Sunbelt-specific read-through is nuanced: coastal markets are outperforming sharply while Sunbelt blended rates remain negative (UDR Sunbelt: -2% in 2Q, improving to -1.5% in July), consistent with MAA's own trajectory but suggesting the recovery is still in early innings for the markets where MAA is most concentrated.</w:t>
      </w:r>
    </w:p>
    <w:p>
      <w:r>
        <w:rPr>
          <w:rFonts w:ascii="Calibri" w:hAnsi="Calibri"/>
          <w:b/>
          <w:color w:val="525866"/>
          <w:sz w:val="22"/>
        </w:rPr>
        <w:t xml:space="preserve">Methodology Note: </w:t>
      </w:r>
      <w:r>
        <w:rPr>
          <w:rFonts w:ascii="Calibri" w:hAnsi="Calibri"/>
          <w:i/>
          <w:color w:val="525866"/>
          <w:sz w:val="22"/>
        </w:rPr>
        <w:t>Only commentary released May 29–July 29, 2026 addressing 2Q26 operating performance or current-quarter/forward outlook is included below. Prior-quarter result commentary (e.g., 1Q26 earnings calls from April/May) is excluded. Geography is explicitly flagged: Sunbelt read-throughs are distinguished from coastal-only observations.</w:t>
      </w:r>
    </w:p>
    <w:p>
      <w:pPr>
        <w:pStyle w:val="Heading3"/>
      </w:pPr>
      <w:r>
        <w:rPr>
          <w:rFonts w:ascii="Calibri" w:hAnsi="Calibri"/>
          <w:b/>
          <w:color w:val="3B4259"/>
          <w:sz w:val="24"/>
        </w:rPr>
        <w:t>UDR — 2Q26 Earnings Call (July 28, 2026) — HIGHEST RELEVANCE</w:t>
      </w:r>
    </w:p>
    <w:p>
      <w:r>
        <w:rPr>
          <w:rFonts w:ascii="Calibri" w:hAnsi="Calibri"/>
          <w:b/>
          <w:color w:val="525866"/>
          <w:sz w:val="22"/>
        </w:rPr>
        <w:t xml:space="preserve">Relevance to MAA: </w:t>
      </w:r>
      <w:r>
        <w:rPr>
          <w:rFonts w:ascii="Calibri" w:hAnsi="Calibri"/>
          <w:color w:val="525866"/>
          <w:sz w:val="22"/>
        </w:rPr>
        <w:t>UDR has ~25% of NOI in Sunbelt markets (Dallas, Austin, Orlando, Tampa, Nashville) that directly overlap with MAA's core portfolio. UDR's 2Q26 Sunbelt commentary is the most direct read-through available.</w:t>
      </w:r>
    </w:p>
    <w:p>
      <w:pPr>
        <w:pStyle w:val="ListBullet"/>
        <w:ind w:left="360" w:hanging="360"/>
      </w:pPr>
      <w:r>
        <w:rPr>
          <w:rFonts w:ascii="Calibri" w:hAnsi="Calibri"/>
          <w:b/>
          <w:color w:val="525866"/>
          <w:sz w:val="22"/>
        </w:rPr>
        <w:t xml:space="preserve">Sunbelt blended lease rates: -2% in 2Q26, improving to -1.5% in July. </w:t>
      </w:r>
      <w:r>
        <w:rPr>
          <w:rFonts w:ascii="Calibri" w:hAnsi="Calibri"/>
          <w:color w:val="525866"/>
          <w:sz w:val="22"/>
        </w:rPr>
        <w:t xml:space="preserve">New lease growth in Sunbelt was -7% to -7.5% in 2Q, improving to -5.5% to -6% in July. This is directionally consistent with MAA's 1Q26 new lease rate of -7.0% and the consensus expectation of -4.97% for 2Q26 — suggesting MAA's new lease improvement may be tracking slightly better than UDR's Sunbelt average. </w:t>
      </w:r>
      <w:r>
        <w:rPr>
          <w:rFonts w:ascii="Calibri" w:hAnsi="Calibri"/>
          <w:color w:val="525866"/>
          <w:sz w:val="22"/>
        </w:rPr>
        <w:t>Geography: Direct Sunbelt read-through.</w:t>
      </w:r>
    </w:p>
    <w:p>
      <w:pPr>
        <w:pStyle w:val="ListBullet"/>
        <w:ind w:left="360" w:hanging="360"/>
      </w:pPr>
      <w:r>
        <w:rPr>
          <w:rFonts w:ascii="Calibri" w:hAnsi="Calibri"/>
          <w:b/>
          <w:color w:val="525866"/>
          <w:sz w:val="22"/>
        </w:rPr>
        <w:t xml:space="preserve">Dallas (9% of UDR NOI): Strongest Sunbelt market, occupancy ~97%, blended rates still ~-1%. </w:t>
      </w:r>
      <w:r>
        <w:rPr>
          <w:rFonts w:ascii="Calibri" w:hAnsi="Calibri"/>
          <w:color w:val="525866"/>
          <w:sz w:val="22"/>
        </w:rPr>
        <w:t xml:space="preserve">Demand supported by corporate relocations: Public Storage to Frisco (~1,000 employees), Samsung to Plano (~1,000 employees), AT&amp;T headquarters near 2,000 homes. This is highly relevant to MAA, which called Dallas one of its strongest markets in 1Q26 with a 240 bps YoY blended improvement. </w:t>
      </w:r>
      <w:r>
        <w:rPr>
          <w:rFonts w:ascii="Calibri" w:hAnsi="Calibri"/>
          <w:color w:val="525866"/>
          <w:sz w:val="22"/>
        </w:rPr>
        <w:t>Geography: Direct Sunbelt read-through (Dallas is a top-3 MAA market by SS NOI).</w:t>
      </w:r>
    </w:p>
    <w:p>
      <w:pPr>
        <w:pStyle w:val="ListBullet"/>
        <w:ind w:left="360" w:hanging="360"/>
      </w:pPr>
      <w:r>
        <w:rPr>
          <w:rFonts w:ascii="Calibri" w:hAnsi="Calibri"/>
          <w:b/>
          <w:color w:val="525866"/>
          <w:sz w:val="22"/>
        </w:rPr>
        <w:t xml:space="preserve">Austin: Best momentum in blended lease rate growth among Sunbelt markets, occupancy ~97%. </w:t>
      </w:r>
      <w:r>
        <w:rPr>
          <w:rFonts w:ascii="Calibri" w:hAnsi="Calibri"/>
          <w:color w:val="525866"/>
          <w:sz w:val="22"/>
        </w:rPr>
        <w:t xml:space="preserve">Outmigration from Austin down 8%–10%. This is a positive read-through for MAA, which characterized Austin as 'still a challenge' in 1Q26 but noted South Austin showing early improvement. </w:t>
      </w:r>
      <w:r>
        <w:rPr>
          <w:rFonts w:ascii="Calibri" w:hAnsi="Calibri"/>
          <w:color w:val="525866"/>
          <w:sz w:val="22"/>
        </w:rPr>
        <w:t>Geography: Direct Sunbelt read-through.</w:t>
      </w:r>
    </w:p>
    <w:p>
      <w:pPr>
        <w:pStyle w:val="ListBullet"/>
        <w:ind w:left="360" w:hanging="360"/>
      </w:pPr>
      <w:r>
        <w:rPr>
          <w:rFonts w:ascii="Calibri" w:hAnsi="Calibri"/>
          <w:b/>
          <w:color w:val="525866"/>
          <w:sz w:val="22"/>
        </w:rPr>
        <w:t xml:space="preserve">Florida (Orlando + Tampa, 10% of UDR NOI): Occupancy ~97% (up from 96% in 1Q), blended rates ~-1.5% (improving from -2.5% to -3% in prior quarter). </w:t>
      </w:r>
      <w:r>
        <w:rPr>
          <w:rFonts w:ascii="Calibri" w:hAnsi="Calibri"/>
          <w:color w:val="525866"/>
          <w:sz w:val="22"/>
        </w:rPr>
        <w:t xml:space="preserve">Positive momentum. MAA has significant Orlando and Tampa exposure. </w:t>
      </w:r>
      <w:r>
        <w:rPr>
          <w:rFonts w:ascii="Calibri" w:hAnsi="Calibri"/>
          <w:color w:val="525866"/>
          <w:sz w:val="22"/>
        </w:rPr>
        <w:t>Geography: Direct Sunbelt read-through.</w:t>
      </w:r>
    </w:p>
    <w:p>
      <w:pPr>
        <w:pStyle w:val="ListBullet"/>
        <w:ind w:left="360" w:hanging="360"/>
      </w:pPr>
      <w:r>
        <w:rPr>
          <w:rFonts w:ascii="Calibri" w:hAnsi="Calibri"/>
          <w:b/>
          <w:color w:val="525866"/>
          <w:sz w:val="22"/>
        </w:rPr>
        <w:t xml:space="preserve">Nashville (2.5% of UDR NOI): Occupancy ~95.5%, blended rates -2% to -3%, still under supply pressure. </w:t>
      </w:r>
      <w:r>
        <w:rPr>
          <w:rFonts w:ascii="Calibri" w:hAnsi="Calibri"/>
          <w:color w:val="525866"/>
          <w:sz w:val="22"/>
        </w:rPr>
        <w:t xml:space="preserve">Amazon and Oracle expanding presence; new Nissan Stadium driving demand. MAA is actively developing in Nashville (new land parcel acquired April 2026). </w:t>
      </w:r>
      <w:r>
        <w:rPr>
          <w:rFonts w:ascii="Calibri" w:hAnsi="Calibri"/>
          <w:color w:val="525866"/>
          <w:sz w:val="22"/>
        </w:rPr>
        <w:t>Geography: Direct Sunbelt read-through.</w:t>
      </w:r>
    </w:p>
    <w:p>
      <w:pPr>
        <w:pStyle w:val="ListBullet"/>
        <w:ind w:left="360" w:hanging="360"/>
      </w:pPr>
      <w:r>
        <w:rPr>
          <w:rFonts w:ascii="Calibri" w:hAnsi="Calibri"/>
          <w:b/>
          <w:color w:val="525866"/>
          <w:sz w:val="22"/>
        </w:rPr>
        <w:t xml:space="preserve">Overall sector fundamentals (2Q26): Employment growth exceeding consensus, housing affordability favoring renting, new supply continuing to abate. </w:t>
      </w:r>
      <w:r>
        <w:rPr>
          <w:rFonts w:ascii="Calibri" w:hAnsi="Calibri"/>
          <w:color w:val="525866"/>
          <w:sz w:val="22"/>
        </w:rPr>
        <w:t xml:space="preserve">UDR raised FY26 same-store revenue guidance midpoint by 12.5 bps and same-store NOI guidance by 50 bps. Blended lease rate growth of 2.1% in 2Q26 (UDR portfolio-wide, coastal-heavy). Resident retention at all-time seasonal high of 60% (+140 bps YoY). </w:t>
      </w:r>
      <w:r>
        <w:rPr>
          <w:rFonts w:ascii="Calibri" w:hAnsi="Calibri"/>
          <w:color w:val="525866"/>
          <w:sz w:val="22"/>
        </w:rPr>
        <w:t>Geography: Portfolio-wide (75% coastal, 25% Sunbelt); coastal markets not directly applicable to MAA.</w:t>
      </w:r>
    </w:p>
    <w:p>
      <w:pPr>
        <w:pStyle w:val="ListBullet"/>
        <w:ind w:left="360" w:hanging="360"/>
      </w:pPr>
      <w:r>
        <w:rPr>
          <w:rFonts w:ascii="Calibri" w:hAnsi="Calibri"/>
          <w:b/>
          <w:color w:val="525866"/>
          <w:sz w:val="22"/>
        </w:rPr>
        <w:t xml:space="preserve">Caution — Coastal vs. Sunbelt divergence: </w:t>
      </w:r>
      <w:r>
        <w:rPr>
          <w:rFonts w:ascii="Calibri" w:hAnsi="Calibri"/>
          <w:color w:val="525866"/>
          <w:sz w:val="22"/>
        </w:rPr>
        <w:t xml:space="preserve">UDR's coastal markets (San Francisco: ~13% blended, NYC: mid-single digit) are driving the headline beat. The Sunbelt at -2% blended is a drag. MAA's portfolio is ~100% Sunbelt, so the coastal tailwind does not apply. The relevant signal is the Sunbelt trajectory: improving but still negative, consistent with MAA's own guidance of 1%–1.5% blended for the full year requiring acceleration in 2H26. </w:t>
      </w:r>
      <w:r>
        <w:rPr>
          <w:rFonts w:ascii="Calibri" w:hAnsi="Calibri"/>
          <w:color w:val="525866"/>
          <w:sz w:val="22"/>
        </w:rPr>
        <w:t>Geography: Coastal commentary NOT applicable to MAA.</w:t>
      </w:r>
    </w:p>
    <w:p>
      <w:pPr>
        <w:pStyle w:val="Heading3"/>
      </w:pPr>
      <w:r>
        <w:rPr>
          <w:rFonts w:ascii="Calibri" w:hAnsi="Calibri"/>
          <w:b/>
          <w:color w:val="3B4259"/>
          <w:sz w:val="24"/>
        </w:rPr>
        <w:t>EQR — 2Q26 Earnings Release (July 22, 2026) — MODERATE RELEVANCE (Partial Sunbelt Overlap)</w:t>
      </w:r>
    </w:p>
    <w:p>
      <w:r>
        <w:rPr>
          <w:rFonts w:ascii="Calibri" w:hAnsi="Calibri"/>
          <w:b/>
          <w:color w:val="525866"/>
          <w:sz w:val="22"/>
        </w:rPr>
        <w:t xml:space="preserve">Relevance to MAA: </w:t>
      </w:r>
      <w:r>
        <w:rPr>
          <w:rFonts w:ascii="Calibri" w:hAnsi="Calibri"/>
          <w:color w:val="525866"/>
          <w:sz w:val="22"/>
        </w:rPr>
        <w:t>EQR is primarily a coastal REIT (~80% of NOI in coastal markets) but has targeted Sunbelt exposure in Atlanta, Dallas/Austin, and Denver. EQR's Sunbelt data provides a partial read-through; coastal commentary is not applicable to MAA.</w:t>
      </w:r>
    </w:p>
    <w:p>
      <w:pPr>
        <w:pStyle w:val="ListBullet"/>
        <w:ind w:left="360" w:hanging="360"/>
      </w:pPr>
      <w:r>
        <w:rPr>
          <w:rFonts w:ascii="Calibri" w:hAnsi="Calibri"/>
          <w:b/>
          <w:color w:val="525866"/>
          <w:sz w:val="22"/>
        </w:rPr>
        <w:t xml:space="preserve">Atlanta (EQR 2Q26 vs. 2Q25): Revenue -0.3%, NOI -2.6%, avg. rental rates -0.6%, occupancy +0.3% to 95.6%. </w:t>
      </w:r>
      <w:r>
        <w:rPr>
          <w:rFonts w:ascii="Calibri" w:hAnsi="Calibri"/>
          <w:color w:val="525866"/>
          <w:sz w:val="22"/>
        </w:rPr>
        <w:t xml:space="preserve">Year-over-year still negative, but QoQ (2Q26 vs. 1Q26) showed improvement: revenue +1.4%, NOI +2.0%, avg. rates +1.8%. This is a mixed read-through for MAA — Atlanta was one of MAA's outperforming markets in 1Q26 (blended pricing above portfolio average), but EQR's YoY data suggests the market is still absorbing supply. </w:t>
      </w:r>
      <w:r>
        <w:rPr>
          <w:rFonts w:ascii="Calibri" w:hAnsi="Calibri"/>
          <w:color w:val="525866"/>
          <w:sz w:val="22"/>
        </w:rPr>
        <w:t>Geography: Direct Sunbelt read-through (Atlanta is a top-3 MAA market by SS NOI).</w:t>
      </w:r>
    </w:p>
    <w:p>
      <w:pPr>
        <w:pStyle w:val="ListBullet"/>
        <w:ind w:left="360" w:hanging="360"/>
      </w:pPr>
      <w:r>
        <w:rPr>
          <w:rFonts w:ascii="Calibri" w:hAnsi="Calibri"/>
          <w:b/>
          <w:color w:val="525866"/>
          <w:sz w:val="22"/>
        </w:rPr>
        <w:t xml:space="preserve">Dallas/Austin (EQR 2Q26 vs. 2Q25): Revenue -1.3%, NOI +0.8%, avg. rates -1.8%, occupancy +0.5% to 95.9%. </w:t>
      </w:r>
      <w:r>
        <w:rPr>
          <w:rFonts w:ascii="Calibri" w:hAnsi="Calibri"/>
          <w:color w:val="525866"/>
          <w:sz w:val="22"/>
        </w:rPr>
        <w:t xml:space="preserve">QoQ improvement: revenue +1.2%, NOI +2.0%, rates +0.7%. The NOI beat despite negative revenue YoY reflects expense discipline — a pattern consistent with MAA's own beat history. </w:t>
      </w:r>
      <w:r>
        <w:rPr>
          <w:rFonts w:ascii="Calibri" w:hAnsi="Calibri"/>
          <w:color w:val="525866"/>
          <w:sz w:val="22"/>
        </w:rPr>
        <w:t>Geography: Direct Sunbelt read-through.</w:t>
      </w:r>
    </w:p>
    <w:p>
      <w:pPr>
        <w:pStyle w:val="ListBullet"/>
        <w:ind w:left="360" w:hanging="360"/>
      </w:pPr>
      <w:r>
        <w:rPr>
          <w:rFonts w:ascii="Calibri" w:hAnsi="Calibri"/>
          <w:b/>
          <w:color w:val="525866"/>
          <w:sz w:val="22"/>
        </w:rPr>
        <w:t xml:space="preserve">Denver (EQR 2Q26 vs. 2Q25): Revenue -6.4%, NOI -9.9%, avg. rates -7.7%, occupancy +1.2% to 97.0%. </w:t>
      </w:r>
      <w:r>
        <w:rPr>
          <w:rFonts w:ascii="Calibri" w:hAnsi="Calibri"/>
          <w:color w:val="525866"/>
          <w:sz w:val="22"/>
        </w:rPr>
        <w:t xml:space="preserve">Denver is not a core MAA market (MAA has minimal Denver exposure), so this is not a direct read-through. However, it illustrates that some Sunbelt-adjacent markets remain under significant pressure. </w:t>
      </w:r>
      <w:r>
        <w:rPr>
          <w:rFonts w:ascii="Calibri" w:hAnsi="Calibri"/>
          <w:color w:val="525866"/>
          <w:sz w:val="22"/>
        </w:rPr>
        <w:t>Geography: Limited MAA relevance (MAA has no material Denver exposure).</w:t>
      </w:r>
    </w:p>
    <w:p>
      <w:pPr>
        <w:pStyle w:val="ListBullet"/>
        <w:ind w:left="360" w:hanging="360"/>
      </w:pPr>
      <w:r>
        <w:rPr>
          <w:rFonts w:ascii="Calibri" w:hAnsi="Calibri"/>
          <w:b/>
          <w:color w:val="525866"/>
          <w:sz w:val="22"/>
        </w:rPr>
        <w:t xml:space="preserve">Portfolio-wide 2Q26 same-store: Revenue +1.9% YoY, NOI +1.4% YoY. </w:t>
      </w:r>
      <w:r>
        <w:rPr>
          <w:rFonts w:ascii="Calibri" w:hAnsi="Calibri"/>
          <w:color w:val="525866"/>
          <w:sz w:val="22"/>
        </w:rPr>
        <w:t xml:space="preserve">EQR raised FY26 same-store revenue guidance midpoint by 20 bps and NOI midpoint by 30 bps. CEO Mark Parrell cited 'declining levels of new supply in most of our markets' and 'increasingly supportive job market.' COO Michael Manelis: 'Positive trends around both supply and demand continue to drive our operating performance during the primary leasing season and we continue to observe growing rents as we work our way through the summer.' </w:t>
      </w:r>
      <w:r>
        <w:rPr>
          <w:rFonts w:ascii="Calibri" w:hAnsi="Calibri"/>
          <w:color w:val="525866"/>
          <w:sz w:val="22"/>
        </w:rPr>
        <w:t>Geography: Portfolio-wide (primarily coastal); the supply moderation and demand commentary is broadly applicable to MAA's Sunbelt markets.</w:t>
      </w:r>
    </w:p>
    <w:p>
      <w:pPr>
        <w:pStyle w:val="ListBullet"/>
        <w:ind w:left="360" w:hanging="360"/>
      </w:pPr>
      <w:r>
        <w:rPr>
          <w:rFonts w:ascii="Calibri" w:hAnsi="Calibri"/>
          <w:b/>
          <w:color w:val="525866"/>
          <w:sz w:val="22"/>
        </w:rPr>
        <w:t xml:space="preserve">July 2026 preliminary data (as of July 15): Physical occupancy 96.2%, new lease change -0.1%, renewal rate achieved 4.9%, blended rate 3.0%. </w:t>
      </w:r>
      <w:r>
        <w:rPr>
          <w:rFonts w:ascii="Calibri" w:hAnsi="Calibri"/>
          <w:color w:val="525866"/>
          <w:sz w:val="22"/>
        </w:rPr>
        <w:t xml:space="preserve">The July blended rate of 3.0% is a coastal-driven number and not directly applicable to MAA. However, the continued positive momentum into July (vs. the mid-May stall in 2025) is a positive read-through for the sector. </w:t>
      </w:r>
      <w:r>
        <w:rPr>
          <w:rFonts w:ascii="Calibri" w:hAnsi="Calibri"/>
          <w:color w:val="525866"/>
          <w:sz w:val="22"/>
        </w:rPr>
        <w:t>Geography: Primarily coastal; not directly applicable to MAA's Sunbelt portfolio.</w:t>
      </w:r>
    </w:p>
    <w:p>
      <w:pPr>
        <w:pStyle w:val="ListBullet"/>
        <w:ind w:left="360" w:hanging="360"/>
      </w:pPr>
      <w:r>
        <w:rPr>
          <w:rFonts w:ascii="Calibri" w:hAnsi="Calibri"/>
          <w:b/>
          <w:color w:val="525866"/>
          <w:sz w:val="22"/>
        </w:rPr>
        <w:t xml:space="preserve">Caution — EQR/AVB merger context: </w:t>
      </w:r>
      <w:r>
        <w:rPr>
          <w:rFonts w:ascii="Calibri" w:hAnsi="Calibri"/>
          <w:color w:val="525866"/>
          <w:sz w:val="22"/>
        </w:rPr>
        <w:t xml:space="preserve">EQR withdrew EPS, FFO, and Normalized FFO guidance due to the pending merger with AVB. Same-store guidance is standalone. The merger creates noise in EQR's financials but does not affect the operating read-through for MAA. </w:t>
      </w:r>
      <w:r>
        <w:rPr>
          <w:rFonts w:ascii="Calibri" w:hAnsi="Calibri"/>
          <w:color w:val="525866"/>
          <w:sz w:val="22"/>
        </w:rPr>
        <w:t>Geography: Corporate event; no geographic read-through.</w:t>
      </w:r>
    </w:p>
    <w:p>
      <w:pPr>
        <w:pStyle w:val="Heading3"/>
      </w:pPr>
      <w:r>
        <w:rPr>
          <w:rFonts w:ascii="Calibri" w:hAnsi="Calibri"/>
          <w:b/>
          <w:color w:val="3B4259"/>
          <w:sz w:val="24"/>
        </w:rPr>
        <w:t>AVB — 2Q26 Earnings Release (July 22, 2026) — LOW-TO-MODERATE RELEVANCE (Limited Sunbelt Overlap)</w:t>
      </w:r>
    </w:p>
    <w:p>
      <w:r>
        <w:rPr>
          <w:rFonts w:ascii="Calibri" w:hAnsi="Calibri"/>
          <w:b/>
          <w:color w:val="525866"/>
          <w:sz w:val="22"/>
        </w:rPr>
        <w:t xml:space="preserve">Relevance to MAA: </w:t>
      </w:r>
      <w:r>
        <w:rPr>
          <w:rFonts w:ascii="Calibri" w:hAnsi="Calibri"/>
          <w:color w:val="525866"/>
          <w:sz w:val="22"/>
        </w:rPr>
        <w:t>AVB is primarily a coastal REIT with limited Sunbelt exposure (Raleigh-Durham, Charlotte, Southeast Florida, Dallas, Austin, Denver as 'expansion regions'). The Sunbelt data is limited and aggregated; coastal commentary is not applicable to MAA.</w:t>
      </w:r>
    </w:p>
    <w:p>
      <w:pPr>
        <w:pStyle w:val="ListBullet"/>
        <w:ind w:left="360" w:hanging="360"/>
      </w:pPr>
      <w:r>
        <w:rPr>
          <w:rFonts w:ascii="Calibri" w:hAnsi="Calibri"/>
          <w:b/>
          <w:color w:val="525866"/>
          <w:sz w:val="22"/>
        </w:rPr>
        <w:t xml:space="preserve">2Q26 same-store residential: Revenue +1.6% YoY, NOI +1.0% YoY. </w:t>
      </w:r>
      <w:r>
        <w:rPr>
          <w:rFonts w:ascii="Calibri" w:hAnsi="Calibri"/>
          <w:color w:val="525866"/>
          <w:sz w:val="22"/>
        </w:rPr>
        <w:t xml:space="preserve">Beat vs. April 2026 outlook by $0.09/share at the SS NOI line ($0.03 revenue, $0.06 expense). Note: ~$0.03 of the expense benefit is timing-related and expected to reverse in 2H26. AVB raised FY26 same-store revenue guidance to 1.1%–2.1% (from 0.4%–2.4%) and NOI guidance to 0%–1.4% (from -0.7%–1.3%). </w:t>
      </w:r>
      <w:r>
        <w:rPr>
          <w:rFonts w:ascii="Calibri" w:hAnsi="Calibri"/>
          <w:color w:val="525866"/>
          <w:sz w:val="22"/>
        </w:rPr>
        <w:t>Geography: Portfolio-wide (primarily coastal); the guidance raise is a positive sector signal but not directly applicable to MAA's Sunbelt-only portfolio.</w:t>
      </w:r>
    </w:p>
    <w:p>
      <w:pPr>
        <w:pStyle w:val="ListBullet"/>
        <w:ind w:left="360" w:hanging="360"/>
      </w:pPr>
      <w:r>
        <w:rPr>
          <w:rFonts w:ascii="Calibri" w:hAnsi="Calibri"/>
          <w:b/>
          <w:color w:val="525866"/>
          <w:sz w:val="22"/>
        </w:rPr>
        <w:t xml:space="preserve">Expansion regions (includes Raleigh-Durham, Charlotte, Dallas, Austin, Southeast Florida, Denver) — Other Expansion Regions SS NOI: $10.1M in 2Q26 vs. $10.2M in 2Q25 (-1.0% YoY). </w:t>
      </w:r>
      <w:r>
        <w:rPr>
          <w:rFonts w:ascii="Calibri" w:hAnsi="Calibri"/>
          <w:color w:val="525866"/>
          <w:sz w:val="22"/>
        </w:rPr>
        <w:t xml:space="preserve">Southeast Florida SS NOI: $17.1M vs. $17.0M (+0.6% YoY). Denver SS NOI: $9.2M vs. $9.1M (+0.5% YoY). The 'Other Expansion Regions' (which includes Charlotte and Dallas/Austin) showed a slight YoY decline, consistent with ongoing supply pressure in those markets. </w:t>
      </w:r>
      <w:r>
        <w:rPr>
          <w:rFonts w:ascii="Calibri" w:hAnsi="Calibri"/>
          <w:color w:val="525866"/>
          <w:sz w:val="22"/>
        </w:rPr>
        <w:t>Geography: Partial Sunbelt read-through; Charlotte and Dallas/Austin are direct MAA markets.</w:t>
      </w:r>
    </w:p>
    <w:p>
      <w:pPr>
        <w:pStyle w:val="ListBullet"/>
        <w:ind w:left="360" w:hanging="360"/>
      </w:pPr>
      <w:r>
        <w:rPr>
          <w:rFonts w:ascii="Calibri" w:hAnsi="Calibri"/>
          <w:b/>
          <w:color w:val="525866"/>
          <w:sz w:val="22"/>
        </w:rPr>
        <w:t xml:space="preserve">COO Sean Breslin: 'A healthier demand environment, easing new supply, and disciplined execution by our teams delivered strong rent growth and lower operating expenses in the first half of the year.' </w:t>
      </w:r>
      <w:r>
        <w:rPr>
          <w:rFonts w:ascii="Calibri" w:hAnsi="Calibri"/>
          <w:color w:val="525866"/>
          <w:sz w:val="22"/>
        </w:rPr>
        <w:t xml:space="preserve">The 'easing new supply' commentary is broadly applicable to MAA's Sunbelt markets. </w:t>
      </w:r>
      <w:r>
        <w:rPr>
          <w:rFonts w:ascii="Calibri" w:hAnsi="Calibri"/>
          <w:color w:val="525866"/>
          <w:sz w:val="22"/>
        </w:rPr>
        <w:t>Geography: Portfolio-wide; supply moderation commentary applicable to MAA.</w:t>
      </w:r>
    </w:p>
    <w:p>
      <w:pPr>
        <w:pStyle w:val="ListBullet"/>
        <w:ind w:left="360" w:hanging="360"/>
      </w:pPr>
      <w:r>
        <w:rPr>
          <w:rFonts w:ascii="Calibri" w:hAnsi="Calibri"/>
          <w:b/>
          <w:color w:val="525866"/>
          <w:sz w:val="22"/>
        </w:rPr>
        <w:t xml:space="preserve">Caution — AVB suspended FFO/Core FFO guidance due to EQR merger: </w:t>
      </w:r>
      <w:r>
        <w:rPr>
          <w:rFonts w:ascii="Calibri" w:hAnsi="Calibri"/>
          <w:color w:val="525866"/>
          <w:sz w:val="22"/>
        </w:rPr>
        <w:t xml:space="preserve">AVB will not hold a 2Q26 conference call due to the pending merger. Same-store guidance is standalone. Limited incremental color beyond the earnings release. </w:t>
      </w:r>
      <w:r>
        <w:rPr>
          <w:rFonts w:ascii="Calibri" w:hAnsi="Calibri"/>
          <w:color w:val="525866"/>
          <w:sz w:val="22"/>
        </w:rPr>
        <w:t>Geography: Corporate event; no geographic read-through.</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Report Date</w:t>
            </w:r>
          </w:p>
        </w:tc>
        <w:tc>
          <w:tcPr>
            <w:tcW w:type="dxa" w:w="1440"/>
            <w:shd w:val="clear" w:color="auto" w:fill="3B4259"/>
          </w:tcPr>
          <w:p>
            <w:r>
              <w:rPr>
                <w:rFonts w:ascii="Calibri" w:hAnsi="Calibri"/>
                <w:b/>
                <w:color w:val="FFFFFF"/>
                <w:sz w:val="22"/>
              </w:rPr>
              <w:t>Sunbelt Read-Through</w:t>
            </w:r>
          </w:p>
        </w:tc>
        <w:tc>
          <w:tcPr>
            <w:tcW w:type="dxa" w:w="1440"/>
            <w:shd w:val="clear" w:color="auto" w:fill="3B4259"/>
          </w:tcPr>
          <w:p>
            <w:r>
              <w:rPr>
                <w:rFonts w:ascii="Calibri" w:hAnsi="Calibri"/>
                <w:b/>
                <w:color w:val="FFFFFF"/>
                <w:sz w:val="22"/>
              </w:rPr>
              <w:t>Key Metric (2Q26)</w:t>
            </w:r>
          </w:p>
        </w:tc>
        <w:tc>
          <w:tcPr>
            <w:tcW w:type="dxa" w:w="1440"/>
            <w:shd w:val="clear" w:color="auto" w:fill="3B4259"/>
          </w:tcPr>
          <w:p>
            <w:r>
              <w:rPr>
                <w:rFonts w:ascii="Calibri" w:hAnsi="Calibri"/>
                <w:b/>
                <w:color w:val="FFFFFF"/>
                <w:sz w:val="22"/>
              </w:rPr>
              <w:t>MAA Implication</w:t>
            </w:r>
          </w:p>
        </w:tc>
        <w:tc>
          <w:tcPr>
            <w:tcW w:type="dxa" w:w="1440"/>
            <w:shd w:val="clear" w:color="auto" w:fill="3B4259"/>
          </w:tcPr>
          <w:p>
            <w:r>
              <w:rPr>
                <w:rFonts w:ascii="Calibri" w:hAnsi="Calibri"/>
                <w:b/>
                <w:color w:val="FFFFFF"/>
                <w:sz w:val="22"/>
              </w:rPr>
              <w:t>Coastal Only?</w:t>
            </w:r>
          </w:p>
        </w:tc>
      </w:tr>
      <w:tr>
        <w:tc>
          <w:tcPr>
            <w:tcW w:type="dxa" w:w="1440"/>
          </w:tcPr>
          <w:p>
            <w:r>
              <w:rPr>
                <w:rFonts w:ascii="Calibri" w:hAnsi="Calibri"/>
                <w:sz w:val="22"/>
              </w:rPr>
              <w:t>UDR</w:t>
            </w:r>
          </w:p>
        </w:tc>
        <w:tc>
          <w:tcPr>
            <w:tcW w:type="dxa" w:w="1440"/>
          </w:tcPr>
          <w:p>
            <w:r>
              <w:rPr>
                <w:rFonts w:ascii="Calibri" w:hAnsi="Calibri"/>
                <w:sz w:val="22"/>
              </w:rPr>
              <w:t>Jul 27–28, 2026</w:t>
            </w:r>
          </w:p>
        </w:tc>
        <w:tc>
          <w:tcPr>
            <w:tcW w:type="dxa" w:w="1440"/>
          </w:tcPr>
          <w:p>
            <w:r>
              <w:rPr>
                <w:rFonts w:ascii="Calibri" w:hAnsi="Calibri"/>
                <w:sz w:val="22"/>
              </w:rPr>
              <w:t>HIGH — 25% Sunbelt NOI (Dallas, Austin, Orlando, Tampa, Nashville)</w:t>
            </w:r>
          </w:p>
        </w:tc>
        <w:tc>
          <w:tcPr>
            <w:tcW w:type="dxa" w:w="1440"/>
          </w:tcPr>
          <w:p>
            <w:r>
              <w:rPr>
                <w:rFonts w:ascii="Calibri" w:hAnsi="Calibri"/>
                <w:sz w:val="22"/>
              </w:rPr>
              <w:t>Sunbelt blended: -2% in 2Q, improving to -1.5% in July; new lease -7% to -7.5% in 2Q, improving to -5.5% to -6% in July</w:t>
            </w:r>
          </w:p>
        </w:tc>
        <w:tc>
          <w:tcPr>
            <w:tcW w:type="dxa" w:w="1440"/>
          </w:tcPr>
          <w:p>
            <w:r>
              <w:rPr>
                <w:rFonts w:ascii="Calibri" w:hAnsi="Calibri"/>
                <w:sz w:val="22"/>
              </w:rPr>
              <w:t>Consistent with MAA's trajectory; new lease improvement tracking slightly better than UDR Sunbelt avg. Dallas strongest Sunbelt market (97% occ). Austin best momentum.</w:t>
            </w:r>
          </w:p>
        </w:tc>
        <w:tc>
          <w:tcPr>
            <w:tcW w:type="dxa" w:w="1440"/>
          </w:tcPr>
          <w:p>
            <w:r>
              <w:rPr>
                <w:rFonts w:ascii="Calibri" w:hAnsi="Calibri"/>
                <w:sz w:val="22"/>
              </w:rPr>
              <w:t>No — direct Sunbelt data</w:t>
            </w:r>
          </w:p>
        </w:tc>
      </w:tr>
      <w:tr>
        <w:tc>
          <w:tcPr>
            <w:tcW w:type="dxa" w:w="1440"/>
          </w:tcPr>
          <w:p>
            <w:r>
              <w:rPr>
                <w:rFonts w:ascii="Calibri" w:hAnsi="Calibri"/>
                <w:sz w:val="22"/>
              </w:rPr>
              <w:t>EQR</w:t>
            </w:r>
          </w:p>
        </w:tc>
        <w:tc>
          <w:tcPr>
            <w:tcW w:type="dxa" w:w="1440"/>
          </w:tcPr>
          <w:p>
            <w:r>
              <w:rPr>
                <w:rFonts w:ascii="Calibri" w:hAnsi="Calibri"/>
                <w:sz w:val="22"/>
              </w:rPr>
              <w:t>Jul 22, 2026</w:t>
            </w:r>
          </w:p>
        </w:tc>
        <w:tc>
          <w:tcPr>
            <w:tcW w:type="dxa" w:w="1440"/>
          </w:tcPr>
          <w:p>
            <w:r>
              <w:rPr>
                <w:rFonts w:ascii="Calibri" w:hAnsi="Calibri"/>
                <w:sz w:val="22"/>
              </w:rPr>
              <w:t>MODERATE — Atlanta, Dallas/Austin, Denver exposure</w:t>
            </w:r>
          </w:p>
        </w:tc>
        <w:tc>
          <w:tcPr>
            <w:tcW w:type="dxa" w:w="1440"/>
          </w:tcPr>
          <w:p>
            <w:r>
              <w:rPr>
                <w:rFonts w:ascii="Calibri" w:hAnsi="Calibri"/>
                <w:sz w:val="22"/>
              </w:rPr>
              <w:t>Atlanta: rev -0.3% YoY, NOI -2.6% YoY but QoQ improving (+1.4% rev, +2.0% NOI). Dallas/Austin: rev -1.3% YoY, NOI +0.8% YoY.</w:t>
            </w:r>
          </w:p>
        </w:tc>
        <w:tc>
          <w:tcPr>
            <w:tcW w:type="dxa" w:w="1440"/>
          </w:tcPr>
          <w:p>
            <w:r>
              <w:rPr>
                <w:rFonts w:ascii="Calibri" w:hAnsi="Calibri"/>
                <w:sz w:val="22"/>
              </w:rPr>
              <w:t>Atlanta and Dallas/Austin still YoY negative but QoQ improving — consistent with MAA's 1Q26 commentary. Expense discipline driving NOI beats despite revenue pressure.</w:t>
            </w:r>
          </w:p>
        </w:tc>
        <w:tc>
          <w:tcPr>
            <w:tcW w:type="dxa" w:w="1440"/>
          </w:tcPr>
          <w:p>
            <w:r>
              <w:rPr>
                <w:rFonts w:ascii="Calibri" w:hAnsi="Calibri"/>
                <w:sz w:val="22"/>
              </w:rPr>
              <w:t>Partial — ~80% coastal</w:t>
            </w:r>
          </w:p>
        </w:tc>
      </w:tr>
      <w:tr>
        <w:tc>
          <w:tcPr>
            <w:tcW w:type="dxa" w:w="1440"/>
          </w:tcPr>
          <w:p>
            <w:r>
              <w:rPr>
                <w:rFonts w:ascii="Calibri" w:hAnsi="Calibri"/>
                <w:sz w:val="22"/>
              </w:rPr>
              <w:t>AVB</w:t>
            </w:r>
          </w:p>
        </w:tc>
        <w:tc>
          <w:tcPr>
            <w:tcW w:type="dxa" w:w="1440"/>
          </w:tcPr>
          <w:p>
            <w:r>
              <w:rPr>
                <w:rFonts w:ascii="Calibri" w:hAnsi="Calibri"/>
                <w:sz w:val="22"/>
              </w:rPr>
              <w:t>Jul 22, 2026</w:t>
            </w:r>
          </w:p>
        </w:tc>
        <w:tc>
          <w:tcPr>
            <w:tcW w:type="dxa" w:w="1440"/>
          </w:tcPr>
          <w:p>
            <w:r>
              <w:rPr>
                <w:rFonts w:ascii="Calibri" w:hAnsi="Calibri"/>
                <w:sz w:val="22"/>
              </w:rPr>
              <w:t>LOW — Expansion regions only (Charlotte, Dallas, Austin, SE Florida, Denver)</w:t>
            </w:r>
          </w:p>
        </w:tc>
        <w:tc>
          <w:tcPr>
            <w:tcW w:type="dxa" w:w="1440"/>
          </w:tcPr>
          <w:p>
            <w:r>
              <w:rPr>
                <w:rFonts w:ascii="Calibri" w:hAnsi="Calibri"/>
                <w:sz w:val="22"/>
              </w:rPr>
              <w:t>Other Expansion Regions SS NOI: -1.0% YoY. SE Florida: +0.6% YoY. Portfolio SS revenue: +1.6% YoY (coastal-driven).</w:t>
            </w:r>
          </w:p>
        </w:tc>
        <w:tc>
          <w:tcPr>
            <w:tcW w:type="dxa" w:w="1440"/>
          </w:tcPr>
          <w:p>
            <w:r>
              <w:rPr>
                <w:rFonts w:ascii="Calibri" w:hAnsi="Calibri"/>
                <w:sz w:val="22"/>
              </w:rPr>
              <w:t>Charlotte/Dallas/Austin expansion regions still slightly negative YoY. Supply moderation commentary broadly positive for MAA. No conference call limits incremental color.</w:t>
            </w:r>
          </w:p>
        </w:tc>
        <w:tc>
          <w:tcPr>
            <w:tcW w:type="dxa" w:w="1440"/>
          </w:tcPr>
          <w:p>
            <w:r>
              <w:rPr>
                <w:rFonts w:ascii="Calibri" w:hAnsi="Calibri"/>
                <w:sz w:val="22"/>
              </w:rPr>
              <w:t>Primarily — ~85%+ coastal</w:t>
            </w:r>
          </w:p>
        </w:tc>
      </w:tr>
    </w:tbl>
    <w:p>
      <w:pPr>
        <w:pStyle w:val="Heading3"/>
      </w:pPr>
      <w:r>
        <w:rPr>
          <w:rFonts w:ascii="Calibri" w:hAnsi="Calibri"/>
          <w:b/>
          <w:color w:val="3B4259"/>
          <w:sz w:val="24"/>
        </w:rPr>
        <w:t>Synthesized Read-Through for MAA 2Q26</w:t>
      </w:r>
    </w:p>
    <w:p>
      <w:r>
        <w:rPr>
          <w:rFonts w:ascii="Calibri" w:hAnsi="Calibri"/>
          <w:color w:val="525866"/>
          <w:sz w:val="22"/>
        </w:rPr>
        <w:t>The peer data collectively supports the following read-throughs for MAA's 2Q26 print:</w:t>
      </w:r>
    </w:p>
    <w:p>
      <w:pPr>
        <w:pStyle w:val="ListNumber"/>
        <w:ind w:left="360" w:hanging="360"/>
      </w:pPr>
      <w:r>
        <w:rPr>
          <w:rFonts w:ascii="Calibri" w:hAnsi="Calibri"/>
          <w:b/>
          <w:color w:val="525866"/>
          <w:sz w:val="22"/>
        </w:rPr>
        <w:t xml:space="preserve">Supply moderation is real and accelerating. </w:t>
      </w:r>
      <w:r>
        <w:rPr>
          <w:rFonts w:ascii="Calibri" w:hAnsi="Calibri"/>
          <w:color w:val="525866"/>
          <w:sz w:val="22"/>
        </w:rPr>
        <w:t>All three peers (EQR, AVB, UDR) cited easing new supply as a key driver of improved performance. UDR quantified Sunbelt supply at levels consistent with MAA's own data (deliveries down ~40% YoY). This supports MAA's FY26 guidance framework.</w:t>
      </w:r>
    </w:p>
    <w:p>
      <w:pPr>
        <w:pStyle w:val="ListNumber"/>
        <w:ind w:left="360" w:hanging="360"/>
      </w:pPr>
      <w:r>
        <w:rPr>
          <w:rFonts w:ascii="Calibri" w:hAnsi="Calibri"/>
          <w:b/>
          <w:color w:val="525866"/>
          <w:sz w:val="22"/>
        </w:rPr>
        <w:t xml:space="preserve">Sunbelt blended rates are improving but still negative. </w:t>
      </w:r>
      <w:r>
        <w:rPr>
          <w:rFonts w:ascii="Calibri" w:hAnsi="Calibri"/>
          <w:color w:val="525866"/>
          <w:sz w:val="22"/>
        </w:rPr>
        <w:t>UDR's Sunbelt blended rate of -2% in 2Q26 (improving to -1.5% in July) is the most direct comparable. MAA's consensus of +0.87% for 2Q26 implies MAA is expected to outperform UDR's Sunbelt average — plausible given MAA's stronger mid-tier market mix (Richmond, Charleston, Greenville) and lower concession exposure (0.6% of net potential rent vs. higher lease-up portfolios).</w:t>
      </w:r>
    </w:p>
    <w:p>
      <w:pPr>
        <w:pStyle w:val="ListNumber"/>
        <w:ind w:left="360" w:hanging="360"/>
      </w:pPr>
      <w:r>
        <w:rPr>
          <w:rFonts w:ascii="Calibri" w:hAnsi="Calibri"/>
          <w:b/>
          <w:color w:val="525866"/>
          <w:sz w:val="22"/>
        </w:rPr>
        <w:t xml:space="preserve">Expense discipline is the consistent beat driver. </w:t>
      </w:r>
      <w:r>
        <w:rPr>
          <w:rFonts w:ascii="Calibri" w:hAnsi="Calibri"/>
          <w:color w:val="525866"/>
          <w:sz w:val="22"/>
        </w:rPr>
        <w:t>EQR beat on SS NOI despite negative revenue YoY in Sunbelt markets; AVB beat on expenses ($0.06 favorable, though $0.03 is timing). This is consistent with MAA's own pattern of beating on Core FFO via expense management. Watch for MAA's same-store expense growth vs. the 2.65% FY guidance midpoint.</w:t>
      </w:r>
    </w:p>
    <w:p>
      <w:pPr>
        <w:pStyle w:val="ListNumber"/>
        <w:ind w:left="360" w:hanging="360"/>
      </w:pPr>
      <w:r>
        <w:rPr>
          <w:rFonts w:ascii="Calibri" w:hAnsi="Calibri"/>
          <w:b/>
          <w:color w:val="525866"/>
          <w:sz w:val="22"/>
        </w:rPr>
        <w:t xml:space="preserve">Demand fundamentals remain robust. </w:t>
      </w:r>
      <w:r>
        <w:rPr>
          <w:rFonts w:ascii="Calibri" w:hAnsi="Calibri"/>
          <w:color w:val="525866"/>
          <w:sz w:val="22"/>
        </w:rPr>
        <w:t>UDR cited employment growth exceeding consensus, resident retention at all-time seasonal high (60%), rent-to-income ratios at ~21%, and lower cancels/denials. These metrics are consistent with MAA's own resident health data (20% rent-to-income, delinquency at pre-COVID levels). No deterioration in resident quality observed across the sector.</w:t>
      </w:r>
    </w:p>
    <w:p>
      <w:pPr>
        <w:pStyle w:val="ListNumber"/>
        <w:ind w:left="360" w:hanging="360"/>
      </w:pPr>
      <w:r>
        <w:rPr>
          <w:rFonts w:ascii="Calibri" w:hAnsi="Calibri"/>
          <w:b/>
          <w:color w:val="525866"/>
          <w:sz w:val="22"/>
        </w:rPr>
        <w:t xml:space="preserve">The coastal vs. Sunbelt divergence is the key risk. </w:t>
      </w:r>
      <w:r>
        <w:rPr>
          <w:rFonts w:ascii="Calibri" w:hAnsi="Calibri"/>
          <w:color w:val="525866"/>
          <w:sz w:val="22"/>
        </w:rPr>
        <w:t>Coastal markets (San Francisco +13% blended at UDR, NYC mid-single digit) are driving sector-wide headline beats. MAA has zero coastal exposure. The risk is that investors conflate the sector-wide beat with MAA's Sunbelt-specific trajectory, which is improving but at a slower pace. Watch for management's commentary on whether the Sunbelt recovery is tracking ahead of, in line with, or behind the FY26 guidance framework.</w:t>
      </w:r>
    </w:p>
    <w:p>
      <w:r>
        <w:rPr>
          <w:rFonts w:ascii="Calibri" w:hAnsi="Calibri"/>
          <w:i/>
          <w:color w:val="525866"/>
          <w:sz w:val="22"/>
        </w:rPr>
        <w:t>Sources: UDR 2Q26 Earnings Call Transcript (July 28, 2026); EQR 2Q26 Earnings Release (July 22, 2026); AVB 2Q26 Earnings Release (July 22, 2026). All documents sourced from financial documents database.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