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MAR before writing the preview. Let me gather recent earnings materials, guidance, and news.I have the latest earnings materials. Let me read the Q1 2026 earnings call transcript and release for guidance and results.Let me gather recent news, sector context, and stock performance.Let me check for peer read-through — Hilton typically reports before Marriott.Hilton reported July 28 — useful read-through. Let me read key parts of its release.I have what I need. Here's the earnings preview.</w:t>
      </w:r>
    </w:p>
    <w:bookmarkStart w:id="18" w:name="Xf49b24d5241e4ec594148157cb192fd2375c9ed"/>
    <w:p>
      <w:pPr>
        <w:pStyle w:val="Heading1"/>
      </w:pPr>
      <w:r>
        <w:t xml:space="preserve">Marriott International (MAR) — Q2 2026 Earnings Preview</w:t>
      </w:r>
    </w:p>
    <w:bookmarkStart w:id="9" w:name="X740051f0a843af4e02ae85020626287d50af74a"/>
    <w:p>
      <w:pPr>
        <w:pStyle w:val="Heading3"/>
      </w:pPr>
      <w:r>
        <w:t xml:space="preserve">Reports Monday, August 3, 2026 (before market open) | Q2 2026 Earnings Call</w:t>
      </w:r>
    </w:p>
    <w:p>
      <w:r>
        <w:pict>
          <v:rect style="width:0;height:1.5pt" o:hralign="center" o:hrstd="t" o:hr="t"/>
        </w:pict>
      </w:r>
    </w:p>
    <w:bookmarkEnd w:id="9"/>
    <w:bookmarkStart w:id="10" w:name="the-setup-in-one-line"/>
    <w:p>
      <w:pPr>
        <w:pStyle w:val="Heading2"/>
      </w:pPr>
      <w:r>
        <w:t xml:space="preserve">The setup in one line</w:t>
      </w:r>
    </w:p>
    <w:p>
      <w:pPr>
        <w:pStyle w:val="FirstParagraph"/>
      </w:pPr>
      <w:r>
        <w:t xml:space="preserve">Marriott heads into Q2 as a "beat-and-hold-ish" story: U.S. demand is quietly re-accelerating (a genuine positive surprise from Q1), while the Middle East conflict is the single biggest, well-telegraphed drag — and Q2 is management's own designated</w:t>
      </w:r>
      <w:r>
        <w:t xml:space="preserve"> </w:t>
      </w:r>
      <w:r>
        <w:rPr>
          <w:i/>
          <w:iCs/>
        </w:rPr>
        <w:t xml:space="preserve">worst</w:t>
      </w:r>
      <w:r>
        <w:t xml:space="preserve"> </w:t>
      </w:r>
      <w:r>
        <w:t xml:space="preserve">quarter for that hit. The question isn't whether numbers are clean, but whether the U.S. inflection is durable enough to offset a Middle East trough and whether management nudges the full-year up again.</w:t>
      </w:r>
    </w:p>
    <w:p>
      <w:r>
        <w:pict>
          <v:rect style="width:0;height:1.5pt" o:hralign="center" o:hrstd="t" o:hr="t"/>
        </w:pict>
      </w:r>
    </w:p>
    <w:bookmarkEnd w:id="10"/>
    <w:bookmarkStart w:id="11" w:name="Xc831e83bc1dee61b446aab4b50fe179c4cdde81"/>
    <w:p>
      <w:pPr>
        <w:pStyle w:val="Heading2"/>
      </w:pPr>
      <w:r>
        <w:t xml:space="preserve">What management guided for Q2 (this is the bar)</w:t>
      </w:r>
    </w:p>
    <w:p>
      <w:pPr>
        <w:pStyle w:val="FirstParagraph"/>
      </w:pPr>
      <w:r>
        <w:t xml:space="preserve">On the May Q1 call, Marriott set specific Q2 targets. Watch these: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Guidance</w:t>
            </w:r>
          </w:p>
        </w:tc>
        <w:tc>
          <w:tcPr/>
          <w:p>
            <w:pPr>
              <w:pStyle w:val="Compact"/>
            </w:pPr>
            <w:r>
              <w:t xml:space="preserve">Q2 2025 Actual</w:t>
            </w:r>
          </w:p>
        </w:tc>
        <w:tc>
          <w:tcPr/>
          <w:p>
            <w:pPr>
              <w:pStyle w:val="Compact"/>
            </w:pPr>
            <w:r>
              <w:t xml:space="preserve">Implied Growth</w:t>
            </w:r>
          </w:p>
        </w:tc>
      </w:tr>
      <w:tr>
        <w:tc>
          <w:tcPr/>
          <w:p>
            <w:pPr>
              <w:pStyle w:val="Compact"/>
            </w:pPr>
            <w:r>
              <w:t xml:space="preserve">Worldwide RevPAR (constant $)</w:t>
            </w:r>
          </w:p>
        </w:tc>
        <w:tc>
          <w:tcPr/>
          <w:p>
            <w:pPr>
              <w:pStyle w:val="Compact"/>
            </w:pPr>
            <w:r>
              <w:rPr>
                <w:b/>
                <w:bCs/>
              </w:rPr>
              <w:t xml:space="preserve">+1.5% to +2.5%</w:t>
            </w:r>
          </w:p>
        </w:tc>
        <w:tc>
          <w:tcPr/>
          <w:p>
            <w:pPr>
              <w:pStyle w:val="Compact"/>
            </w:pPr>
            <w:r>
              <w:t xml:space="preserve">—</w:t>
            </w:r>
          </w:p>
        </w:tc>
        <w:tc>
          <w:tcPr/>
          <w:p>
            <w:pPr>
              <w:pStyle w:val="Compact"/>
            </w:pPr>
            <w:r>
              <w:t xml:space="preserve">—</w:t>
            </w:r>
          </w:p>
        </w:tc>
      </w:tr>
      <w:tr>
        <w:tc>
          <w:tcPr/>
          <w:p>
            <w:pPr>
              <w:pStyle w:val="Compact"/>
            </w:pPr>
            <w:r>
              <w:t xml:space="preserve">Gross fee revenues</w:t>
            </w:r>
          </w:p>
        </w:tc>
        <w:tc>
          <w:tcPr/>
          <w:p>
            <w:pPr>
              <w:pStyle w:val="Compact"/>
            </w:pPr>
            <w:r>
              <w:rPr>
                <w:b/>
                <w:bCs/>
              </w:rPr>
              <w:t xml:space="preserve">$1,538M – $1,553M</w:t>
            </w:r>
          </w:p>
        </w:tc>
        <w:tc>
          <w:tcPr/>
          <w:p>
            <w:pPr>
              <w:pStyle w:val="Compact"/>
            </w:pPr>
            <w:r>
              <w:t xml:space="preserve">~$1,398M*</w:t>
            </w:r>
          </w:p>
        </w:tc>
        <w:tc>
          <w:tcPr/>
          <w:p>
            <w:pPr>
              <w:pStyle w:val="Compact"/>
            </w:pPr>
            <w:r>
              <w:t xml:space="preserve">+10% to +11%</w:t>
            </w:r>
          </w:p>
        </w:tc>
      </w:tr>
      <w:tr>
        <w:tc>
          <w:tcPr/>
          <w:p>
            <w:pPr>
              <w:pStyle w:val="Compact"/>
            </w:pPr>
            <w:r>
              <w:t xml:space="preserve">Adjusted EBITDA</w:t>
            </w:r>
          </w:p>
        </w:tc>
        <w:tc>
          <w:tcPr/>
          <w:p>
            <w:pPr>
              <w:pStyle w:val="Compact"/>
            </w:pPr>
            <w:r>
              <w:rPr>
                <w:b/>
                <w:bCs/>
              </w:rPr>
              <w:t xml:space="preserve">$1,525M – $1,550M</w:t>
            </w:r>
          </w:p>
        </w:tc>
        <w:tc>
          <w:tcPr/>
          <w:p>
            <w:pPr>
              <w:pStyle w:val="Compact"/>
            </w:pPr>
            <w:r>
              <w:t xml:space="preserve">$1,415M</w:t>
            </w:r>
          </w:p>
        </w:tc>
        <w:tc>
          <w:tcPr/>
          <w:p>
            <w:pPr>
              <w:pStyle w:val="Compact"/>
            </w:pPr>
            <w:r>
              <w:t xml:space="preserve">+8% to +10%</w:t>
            </w:r>
          </w:p>
        </w:tc>
      </w:tr>
      <w:tr>
        <w:tc>
          <w:tcPr/>
          <w:p>
            <w:pPr>
              <w:pStyle w:val="Compact"/>
            </w:pPr>
            <w:r>
              <w:t xml:space="preserve">Adjusted EPS (diluted)</w:t>
            </w:r>
          </w:p>
        </w:tc>
        <w:tc>
          <w:tcPr/>
          <w:p>
            <w:pPr>
              <w:pStyle w:val="Compact"/>
            </w:pPr>
            <w:r>
              <w:rPr>
                <w:b/>
                <w:bCs/>
              </w:rPr>
              <w:t xml:space="preserve">$2.99 – $3.06</w:t>
            </w:r>
          </w:p>
        </w:tc>
        <w:tc>
          <w:tcPr/>
          <w:p>
            <w:pPr>
              <w:pStyle w:val="Compact"/>
            </w:pPr>
            <w:r>
              <w:t xml:space="preserve">—</w:t>
            </w:r>
          </w:p>
        </w:tc>
        <w:tc>
          <w:tcPr/>
          <w:p>
            <w:pPr>
              <w:pStyle w:val="Compact"/>
            </w:pPr>
            <w:r>
              <w:t xml:space="preserve">—</w:t>
            </w:r>
          </w:p>
        </w:tc>
      </w:tr>
      <w:tr>
        <w:tc>
          <w:tcPr/>
          <w:p>
            <w:pPr>
              <w:pStyle w:val="Compact"/>
            </w:pPr>
            <w:r>
              <w:t xml:space="preserve">Owned/leased/other, net</w:t>
            </w:r>
          </w:p>
        </w:tc>
        <w:tc>
          <w:tcPr/>
          <w:p>
            <w:pPr>
              <w:pStyle w:val="Compact"/>
            </w:pPr>
            <w:r>
              <w:t xml:space="preserve">~$60M</w:t>
            </w:r>
          </w:p>
        </w:tc>
        <w:tc>
          <w:tcPr/>
          <w:p>
            <w:pPr>
              <w:pStyle w:val="Compact"/>
            </w:pPr>
            <w:r>
              <w:t xml:space="preserve">$78M</w:t>
            </w:r>
          </w:p>
        </w:tc>
        <w:tc>
          <w:tcPr/>
          <w:p>
            <w:pPr>
              <w:pStyle w:val="Compact"/>
            </w:pPr>
            <w:r>
              <w:t xml:space="preserve">Down YoY</w:t>
            </w:r>
          </w:p>
        </w:tc>
      </w:tr>
      <w:tr>
        <w:tc>
          <w:tcPr/>
          <w:p>
            <w:pPr>
              <w:pStyle w:val="Compact"/>
            </w:pPr>
            <w:r>
              <w:t xml:space="preserve">G&amp;A</w:t>
            </w:r>
          </w:p>
        </w:tc>
        <w:tc>
          <w:tcPr/>
          <w:p>
            <w:pPr>
              <w:pStyle w:val="Compact"/>
            </w:pPr>
            <w:r>
              <w:t xml:space="preserve">$220M – $230M</w:t>
            </w:r>
          </w:p>
        </w:tc>
        <w:tc>
          <w:tcPr/>
          <w:p>
            <w:pPr>
              <w:pStyle w:val="Compact"/>
            </w:pPr>
            <w:r>
              <w:t xml:space="preserve">$210M</w:t>
            </w:r>
          </w:p>
        </w:tc>
        <w:tc>
          <w:tcPr/>
          <w:p>
            <w:pPr>
              <w:pStyle w:val="Compact"/>
            </w:pPr>
            <w:r>
              <w:t xml:space="preserve">Up (comp timing)</w:t>
            </w:r>
          </w:p>
        </w:tc>
      </w:tr>
    </w:tbl>
    <w:p>
      <w:pPr>
        <w:pStyle w:val="BodyText"/>
      </w:pPr>
      <w:r>
        <w:t xml:space="preserve">*Q2'25 gross fees approximated. Q2 2025 Adjusted EBITDA was $1,415M and net income $763M.</w:t>
      </w:r>
    </w:p>
    <w:p>
      <w:pPr>
        <w:pStyle w:val="BodyText"/>
      </w:pPr>
      <w:r>
        <w:t xml:space="preserve">Note the RevPAR guide (+1.5–2.5%) is</w:t>
      </w:r>
      <w:r>
        <w:t xml:space="preserve"> </w:t>
      </w:r>
      <w:r>
        <w:rPr>
          <w:i/>
          <w:iCs/>
        </w:rPr>
        <w:t xml:space="preserve">below</w:t>
      </w:r>
      <w:r>
        <w:t xml:space="preserve"> </w:t>
      </w:r>
      <w:r>
        <w:t xml:space="preserve">the full-year range of +2.0–3.0% — Marriott deliberately front-loaded the Middle East pain into Q2. So a "soft" headline RevPAR print here is by design, not a warning sign. Focus on the mix underneath.</w:t>
      </w:r>
    </w:p>
    <w:p>
      <w:pPr>
        <w:pStyle w:val="BodyText"/>
      </w:pPr>
      <w:r>
        <w:rPr>
          <w:b/>
          <w:bCs/>
        </w:rPr>
        <w:t xml:space="preserve">Full-year framework (raised at Q1):</w:t>
      </w:r>
      <w:r>
        <w:t xml:space="preserve"> </w:t>
      </w:r>
      <w:r>
        <w:t xml:space="preserve">RevPAR +2–3%; gross fees $5.925–5.985B (+9–10%); Adjusted EBITDA $5.88–5.97B (+9–11%); Adjusted EPS</w:t>
      </w:r>
      <w:r>
        <w:t xml:space="preserve"> </w:t>
      </w:r>
      <m:oMath>
        <m:r>
          <m:t>11.38</m:t>
        </m:r>
        <m:r>
          <m:rPr>
            <m:sty m:val="p"/>
          </m:rPr>
          <m:t>–</m:t>
        </m:r>
      </m:oMath>
      <w:r>
        <w:t xml:space="preserve">11.63 (+14–16%); net rooms growth 4.5–5%; capital return &gt;$4.4B.</w:t>
      </w:r>
    </w:p>
    <w:p>
      <w:r>
        <w:pict>
          <v:rect style="width:0;height:1.5pt" o:hralign="center" o:hrstd="t" o:hr="t"/>
        </w:pict>
      </w:r>
    </w:p>
    <w:bookmarkEnd w:id="11"/>
    <w:bookmarkStart w:id="12" w:name="debate-1-is-the-us-re-acceleration-real"/>
    <w:p>
      <w:pPr>
        <w:pStyle w:val="Heading2"/>
      </w:pPr>
      <w:r>
        <w:t xml:space="preserve">Debate #1: Is the U.S. re-acceleration real?</w:t>
      </w:r>
    </w:p>
    <w:p>
      <w:pPr>
        <w:pStyle w:val="FirstParagraph"/>
      </w:pPr>
      <w:r>
        <w:t xml:space="preserve">This is the most important positive. In Q1, U.S. &amp; Canada RevPAR rose 4.0%, and — critically —</w:t>
      </w:r>
      <w:r>
        <w:t xml:space="preserve"> </w:t>
      </w:r>
      <w:r>
        <w:rPr>
          <w:b/>
          <w:bCs/>
        </w:rPr>
        <w:t xml:space="preserve">select service inflected from down &gt;1% in Q4 to +3.5%</w:t>
      </w:r>
      <w:r>
        <w:t xml:space="preserve">, with strength "broad-based across chain scales." Management said April sustained the momentum and specifically raised its U.S. &amp; Canada outlook.</w:t>
      </w:r>
    </w:p>
    <w:p>
      <w:pPr>
        <w:pStyle w:val="BodyText"/>
      </w:pPr>
      <w:r>
        <w:t xml:space="preserve">Watch for confirmation of the drivers Marriott cited:</w:t>
      </w:r>
    </w:p>
    <w:p>
      <w:pPr>
        <w:pStyle w:val="Compact"/>
        <w:numPr>
          <w:ilvl w:val="0"/>
          <w:numId w:val="1001"/>
        </w:numPr>
      </w:pPr>
      <w:r>
        <w:t xml:space="preserve">Pivot to</w:t>
      </w:r>
      <w:r>
        <w:t xml:space="preserve"> </w:t>
      </w:r>
      <w:r>
        <w:rPr>
          <w:b/>
          <w:bCs/>
        </w:rPr>
        <w:t xml:space="preserve">domestic / drive-to travel</w:t>
      </w:r>
      <w:r>
        <w:t xml:space="preserve"> </w:t>
      </w:r>
      <w:r>
        <w:t xml:space="preserve">amid uncertainty and higher airfares</w:t>
      </w:r>
    </w:p>
    <w:p>
      <w:pPr>
        <w:pStyle w:val="Compact"/>
        <w:numPr>
          <w:ilvl w:val="0"/>
          <w:numId w:val="1001"/>
        </w:numPr>
      </w:pPr>
      <w:r>
        <w:t xml:space="preserve">Consumers prioritizing</w:t>
      </w:r>
      <w:r>
        <w:t xml:space="preserve"> </w:t>
      </w:r>
      <w:r>
        <w:rPr>
          <w:b/>
          <w:bCs/>
        </w:rPr>
        <w:t xml:space="preserve">travel/experiences over goods, even in lower-income cohorts</w:t>
      </w:r>
      <w:r>
        <w:t xml:space="preserve"> </w:t>
      </w:r>
      <w:r>
        <w:t xml:space="preserve">(per credit-card spend data)</w:t>
      </w:r>
    </w:p>
    <w:p>
      <w:pPr>
        <w:pStyle w:val="Compact"/>
        <w:numPr>
          <w:ilvl w:val="0"/>
          <w:numId w:val="1001"/>
        </w:numPr>
      </w:pPr>
      <w:r>
        <w:t xml:space="preserve">Low U.S. supply growth + tax-refund tailwind</w:t>
      </w:r>
    </w:p>
    <w:p>
      <w:pPr>
        <w:pStyle w:val="FirstParagraph"/>
      </w:pPr>
      <w:r>
        <w:t xml:space="preserve">The bull case is that the lower-end consumer is participating again. Any commentary that select-service strength held (or faded) into Q2/summer is the swing factor for the stock.</w:t>
      </w:r>
    </w:p>
    <w:bookmarkEnd w:id="12"/>
    <w:bookmarkStart w:id="13" w:name="Xd3ba86b9ac21d33b8f5d42f1b4a3f585c1b9f1b"/>
    <w:p>
      <w:pPr>
        <w:pStyle w:val="Heading2"/>
      </w:pPr>
      <w:r>
        <w:t xml:space="preserve">Debate #2: How bad — and how contained — is the Middle East?</w:t>
      </w:r>
    </w:p>
    <w:p>
      <w:pPr>
        <w:pStyle w:val="FirstParagraph"/>
      </w:pPr>
      <w:r>
        <w:t xml:space="preserve">Management is explicit: they expect roughly a</w:t>
      </w:r>
      <w:r>
        <w:t xml:space="preserve"> </w:t>
      </w:r>
      <w:r>
        <w:rPr>
          <w:b/>
          <w:bCs/>
        </w:rPr>
        <w:t xml:space="preserve">50% RevPAR decline in the Middle East in Q2</w:t>
      </w:r>
      <w:r>
        <w:t xml:space="preserve"> </w:t>
      </w:r>
      <w:r>
        <w:t xml:space="preserve">(the hardest-hit quarter), improving sequentially in H2. The conflict is assumed to shave</w:t>
      </w:r>
      <w:r>
        <w:t xml:space="preserve"> </w:t>
      </w:r>
      <w:r>
        <w:rPr>
          <w:b/>
          <w:bCs/>
        </w:rPr>
        <w:t xml:space="preserve">100–125 bps off full-year global RevPAR</w:t>
      </w:r>
      <w:r>
        <w:t xml:space="preserve">. Incentive management fees are the pressure point — Q2 IMFs were guided</w:t>
      </w:r>
      <w:r>
        <w:t xml:space="preserve"> </w:t>
      </w:r>
      <w:r>
        <w:rPr>
          <w:b/>
          <w:bCs/>
        </w:rPr>
        <w:t xml:space="preserve">down mid-single digits</w:t>
      </w:r>
      <w:r>
        <w:t xml:space="preserve">, driven by Middle East declines, and international managed hotels contribute ~two-thirds of IMF.</w:t>
      </w:r>
    </w:p>
    <w:p>
      <w:pPr>
        <w:pStyle w:val="BodyText"/>
      </w:pPr>
      <w:r>
        <w:t xml:space="preserve">Context on exposure (limits the damage): the Middle East is ~3% of open rooms, ~7% of pipeline, and ~3% of 2025 global gross fees. The read on any</w:t>
      </w:r>
      <w:r>
        <w:t xml:space="preserve"> </w:t>
      </w:r>
      <w:r>
        <w:rPr>
          <w:i/>
          <w:iCs/>
        </w:rPr>
        <w:t xml:space="preserve">recovery</w:t>
      </w:r>
      <w:r>
        <w:t xml:space="preserve"> </w:t>
      </w:r>
      <w:r>
        <w:t xml:space="preserve">trajectory (booking activity was "showing some signs of recovery" off March lows) matters more than the trough number itself.</w:t>
      </w:r>
    </w:p>
    <w:bookmarkEnd w:id="13"/>
    <w:bookmarkStart w:id="14" w:name="X5e567d0790556d159962d3d61a3a29a4cb887d2"/>
    <w:p>
      <w:pPr>
        <w:pStyle w:val="Heading2"/>
      </w:pPr>
      <w:r>
        <w:t xml:space="preserve">The Hilton read-through (reported July 28) — mostly encouraging</w:t>
      </w:r>
    </w:p>
    <w:p>
      <w:pPr>
        <w:pStyle w:val="FirstParagraph"/>
      </w:pPr>
      <w:r>
        <w:t xml:space="preserve">Hilton's Q2 gives a strong directional preview:</w:t>
      </w:r>
    </w:p>
    <w:p>
      <w:pPr>
        <w:pStyle w:val="Compact"/>
        <w:numPr>
          <w:ilvl w:val="0"/>
          <w:numId w:val="1002"/>
        </w:numPr>
      </w:pPr>
      <w:r>
        <w:rPr>
          <w:b/>
          <w:bCs/>
        </w:rPr>
        <w:t xml:space="preserve">System-wide RevPAR +3.9%</w:t>
      </w:r>
      <w:r>
        <w:t xml:space="preserve">, with</w:t>
      </w:r>
      <w:r>
        <w:t xml:space="preserve"> </w:t>
      </w:r>
      <w:r>
        <w:rPr>
          <w:b/>
          <w:bCs/>
        </w:rPr>
        <w:t xml:space="preserve">U.S. +5.4%</w:t>
      </w:r>
      <w:r>
        <w:t xml:space="preserve"> </w:t>
      </w:r>
      <w:r>
        <w:t xml:space="preserve">(occupancy AND ADR up) — corroborates the U.S. demand strength.</w:t>
      </w:r>
    </w:p>
    <w:p>
      <w:pPr>
        <w:pStyle w:val="Compact"/>
        <w:numPr>
          <w:ilvl w:val="0"/>
          <w:numId w:val="1002"/>
        </w:numPr>
      </w:pPr>
      <w:r>
        <w:rPr>
          <w:b/>
          <w:bCs/>
        </w:rPr>
        <w:t xml:space="preserve">Europe +4.3%</w:t>
      </w:r>
      <w:r>
        <w:t xml:space="preserve">,</w:t>
      </w:r>
      <w:r>
        <w:t xml:space="preserve"> </w:t>
      </w:r>
      <w:r>
        <w:rPr>
          <w:b/>
          <w:bCs/>
        </w:rPr>
        <w:t xml:space="preserve">Asia Pacific +1.2%</w:t>
      </w:r>
      <w:r>
        <w:t xml:space="preserve">.</w:t>
      </w:r>
    </w:p>
    <w:p>
      <w:pPr>
        <w:pStyle w:val="Compact"/>
        <w:numPr>
          <w:ilvl w:val="0"/>
          <w:numId w:val="1002"/>
        </w:numPr>
      </w:pPr>
      <w:r>
        <w:rPr>
          <w:b/>
          <w:bCs/>
        </w:rPr>
        <w:t xml:space="preserve">Middle East &amp; Africa −29.5%</w:t>
      </w:r>
      <w:r>
        <w:t xml:space="preserve"> </w:t>
      </w:r>
      <w:r>
        <w:t xml:space="preserve">— validates Marriott's Middle East trough thesis almost exactly.</w:t>
      </w:r>
    </w:p>
    <w:p>
      <w:pPr>
        <w:pStyle w:val="Compact"/>
        <w:numPr>
          <w:ilvl w:val="0"/>
          <w:numId w:val="1002"/>
        </w:numPr>
      </w:pPr>
      <w:r>
        <w:t xml:space="preserve">Hilton beat (adjusted EPS $2.29 vs $2.20 a year ago), Adjusted EBITDA $1,054M, and CEO Nassetta flagged "strengthening demand trends… we expect to continue for the remainder of the year and into 2027."</w:t>
      </w:r>
    </w:p>
    <w:p>
      <w:pPr>
        <w:pStyle w:val="Compact"/>
        <w:numPr>
          <w:ilvl w:val="0"/>
          <w:numId w:val="1002"/>
        </w:numPr>
      </w:pPr>
      <w:r>
        <w:t xml:space="preserve">Hilton held FY RevPAR at +3.0–3.5% and reaffirmed net unit growth of 6.0–7.0%.</w:t>
      </w:r>
    </w:p>
    <w:p>
      <w:pPr>
        <w:pStyle w:val="FirstParagraph"/>
      </w:pPr>
      <w:r>
        <w:t xml:space="preserve">Two cautions on the read-across: (1) Hilton's Q2 benefited from</w:t>
      </w:r>
      <w:r>
        <w:t xml:space="preserve"> </w:t>
      </w:r>
      <w:r>
        <w:rPr>
          <w:b/>
          <w:bCs/>
        </w:rPr>
        <w:t xml:space="preserve">$17M of non-RevPAR items pulled forward</w:t>
      </w:r>
      <w:r>
        <w:t xml:space="preserve"> </w:t>
      </w:r>
      <w:r>
        <w:t xml:space="preserve">from H2 — so its beat quality was partly timing; (2) Hilton skews more U.S./select-service than Marriott, so it feels less of the Middle East and international luxury drag than MAR.</w:t>
      </w:r>
    </w:p>
    <w:p>
      <w:r>
        <w:pict>
          <v:rect style="width:0;height:1.5pt" o:hralign="center" o:hrstd="t" o:hr="t"/>
        </w:pict>
      </w:r>
    </w:p>
    <w:bookmarkEnd w:id="14"/>
    <w:bookmarkStart w:id="15" w:name="other-things-to-watch"/>
    <w:p>
      <w:pPr>
        <w:pStyle w:val="Heading2"/>
      </w:pPr>
      <w:r>
        <w:t xml:space="preserve">Other things to watch</w:t>
      </w:r>
    </w:p>
    <w:p>
      <w:pPr>
        <w:pStyle w:val="FirstParagraph"/>
      </w:pPr>
      <w:r>
        <w:rPr>
          <w:b/>
          <w:bCs/>
        </w:rPr>
        <w:t xml:space="preserve">Unit growth &amp; pipeline.</w:t>
      </w:r>
      <w:r>
        <w:t xml:space="preserve"> </w:t>
      </w:r>
      <w:r>
        <w:t xml:space="preserve">Marriott reaffirmed 4.5–5% net rooms growth. Q1 set a record pipeline (~618,000 rooms, 43% under construction) with conversions running &gt;35% of signings / &gt;40% of openings, plus momentum in midscale (500 hotels open + pipeline) and multi-unit portfolio deals (Sun Group/Vietnam, Series in Europe). Any change to the NUG range or conversion cadence is a key long-term signal — Hilton's 6.1% NUG remains the growth benchmark MAR trails.</w:t>
      </w:r>
    </w:p>
    <w:p>
      <w:pPr>
        <w:pStyle w:val="BodyText"/>
      </w:pPr>
      <w:r>
        <w:rPr>
          <w:b/>
          <w:bCs/>
        </w:rPr>
        <w:t xml:space="preserve">Credit-card renegotiation (the underappreciated catalyst).</w:t>
      </w:r>
      <w:r>
        <w:t xml:space="preserve"> </w:t>
      </w:r>
      <w:r>
        <w:t xml:space="preserve">Marriott is in active talks with Visa, Chase, and Amex, with new U.S. co-brand deals expected "later this year." This upside is</w:t>
      </w:r>
      <w:r>
        <w:t xml:space="preserve"> </w:t>
      </w:r>
      <w:r>
        <w:rPr>
          <w:b/>
          <w:bCs/>
        </w:rPr>
        <w:t xml:space="preserve">explicitly excluded from guidance</w:t>
      </w:r>
      <w:r>
        <w:t xml:space="preserve"> </w:t>
      </w:r>
      <w:r>
        <w:t xml:space="preserve">— any progress update or signed deal could be a positive surprise for 2026/2027 fee growth. Co-branded card fees were already guided +~35% for the year.</w:t>
      </w:r>
    </w:p>
    <w:p>
      <w:pPr>
        <w:pStyle w:val="BodyText"/>
      </w:pPr>
      <w:r>
        <w:rPr>
          <w:b/>
          <w:bCs/>
        </w:rPr>
        <w:t xml:space="preserve">Capital return &amp; balance sheet.</w:t>
      </w:r>
      <w:r>
        <w:t xml:space="preserve"> </w:t>
      </w:r>
      <w:r>
        <w:t xml:space="preserve">MAR plans &gt;</w:t>
      </w:r>
      <m:oMath>
        <m:r>
          <m:t>4.4</m:t>
        </m:r>
        <m:r>
          <m:t>B</m:t>
        </m:r>
        <m:r>
          <m:t>o</m:t>
        </m:r>
        <m:r>
          <m:t>f</m:t>
        </m:r>
        <m:r>
          <m:t>r</m:t>
        </m:r>
        <m:r>
          <m:t>e</m:t>
        </m:r>
        <m:r>
          <m:t>t</m:t>
        </m:r>
        <m:r>
          <m:t>u</m:t>
        </m:r>
        <m:r>
          <m:t>r</m:t>
        </m:r>
        <m:r>
          <m:t>n</m:t>
        </m:r>
        <m:r>
          <m:t>s</m:t>
        </m:r>
        <m:r>
          <m:t>i</m:t>
        </m:r>
        <m:r>
          <m:t>n</m:t>
        </m:r>
        <m:r>
          <m:t>2026</m:t>
        </m:r>
        <m:r>
          <m:rPr>
            <m:sty m:val="p"/>
          </m:rPr>
          <m:t>(</m:t>
        </m:r>
        <m:r>
          <m:t>v</m:t>
        </m:r>
        <m:r>
          <m:t>s</m:t>
        </m:r>
        <m:r>
          <m:rPr>
            <m:sty m:val="p"/>
          </m:rPr>
          <m:t>.</m:t>
        </m:r>
        <m:r>
          <m:t>H</m:t>
        </m:r>
        <m:r>
          <m:t>i</m:t>
        </m:r>
        <m:r>
          <m:t>l</m:t>
        </m:r>
        <m:r>
          <m:t>t</m:t>
        </m:r>
        <m:r>
          <m:t>o</m:t>
        </m:r>
        <m:sSup>
          <m:e>
            <m:r>
              <m:t>n</m:t>
            </m:r>
          </m:e>
          <m:sup>
            <m:r>
              <m:rPr>
                <m:sty m:val="p"/>
              </m:rPr>
              <m:t>′</m:t>
            </m:r>
          </m:sup>
        </m:sSup>
        <m:r>
          <m:t>s</m:t>
        </m:r>
        <m:r>
          <m:t> </m:t>
        </m:r>
      </m:oMath>
      <w:r>
        <w:t xml:space="preserve">3.5B), and bought back</w:t>
      </w:r>
      <w:r>
        <w:t xml:space="preserve"> </w:t>
      </w:r>
      <m:oMath>
        <m:r>
          <m:t>0.7</m:t>
        </m:r>
        <m:r>
          <m:t>B</m:t>
        </m:r>
        <m:r>
          <m:t>i</m:t>
        </m:r>
        <m:r>
          <m:t>n</m:t>
        </m:r>
        <m:r>
          <m:t>Q</m:t>
        </m:r>
        <m:r>
          <m:t>1</m:t>
        </m:r>
        <m:r>
          <m:rPr>
            <m:sty m:val="p"/>
          </m:rPr>
          <m:t>(</m:t>
        </m:r>
      </m:oMath>
      <w:r>
        <w:t xml:space="preserve">1.1B YTD through late April). Share-count reduction is doing heavy lifting on the +14–16% EPS growth. Watch the pace amid a higher share price.</w:t>
      </w:r>
    </w:p>
    <w:p>
      <w:pPr>
        <w:pStyle w:val="BodyText"/>
      </w:pPr>
      <w:r>
        <w:rPr>
          <w:b/>
          <w:bCs/>
        </w:rPr>
        <w:t xml:space="preserve">One-timers to normalize:</w:t>
      </w:r>
      <w:r>
        <w:t xml:space="preserve"> </w:t>
      </w:r>
      <w:r>
        <w:t xml:space="preserve">a planned Q2 sale of a U.S. hotel (with a ~$65–70M impairment, adjusted out; property stays in the system under management), and the Lefay luxury-wellness investment (raised FY investment spend to $1.05–1.15B).</w:t>
      </w:r>
    </w:p>
    <w:p>
      <w:pPr>
        <w:pStyle w:val="BodyText"/>
      </w:pPr>
      <w:r>
        <w:rPr>
          <w:b/>
          <w:bCs/>
        </w:rPr>
        <w:t xml:space="preserve">AI/distribution narrative.</w:t>
      </w:r>
      <w:r>
        <w:t xml:space="preserve"> </w:t>
      </w:r>
      <w:r>
        <w:t xml:space="preserve">Management planned a phased rollout of natural-language search on marriott.com by end of Q2 and is partnering across Google/OpenAI. Not a near-term numbers driver, but framing around AI's impact on direct-booking costs is increasingly a focus for the group.</w:t>
      </w:r>
    </w:p>
    <w:p>
      <w:r>
        <w:pict>
          <v:rect style="width:0;height:1.5pt" o:hralign="center" o:hrstd="t" o:hr="t"/>
        </w:pict>
      </w:r>
    </w:p>
    <w:bookmarkEnd w:id="15"/>
    <w:bookmarkStart w:id="16" w:name="stock-setup--valuation-context"/>
    <w:p>
      <w:pPr>
        <w:pStyle w:val="Heading2"/>
      </w:pPr>
      <w:r>
        <w:t xml:space="preserve">Stock setup &amp; valuation context</w:t>
      </w:r>
    </w:p>
    <w:p>
      <w:pPr>
        <w:pStyle w:val="Compact"/>
        <w:numPr>
          <w:ilvl w:val="0"/>
          <w:numId w:val="1003"/>
        </w:numPr>
      </w:pPr>
      <w:r>
        <w:t xml:space="preserve">MAR is up</w:t>
      </w:r>
      <w:r>
        <w:t xml:space="preserve"> </w:t>
      </w:r>
      <w:r>
        <w:rPr>
          <w:b/>
          <w:bCs/>
        </w:rPr>
        <w:t xml:space="preserve">~19% YTD</w:t>
      </w:r>
      <w:r>
        <w:t xml:space="preserve"> </w:t>
      </w:r>
      <w:r>
        <w:t xml:space="preserve">(≈</w:t>
      </w:r>
      <m:oMath>
        <m:r>
          <m:t>313</m:t>
        </m:r>
        <m:r>
          <m:rPr>
            <m:sty m:val="p"/>
          </m:rPr>
          <m:t>→</m:t>
        </m:r>
        <m:r>
          <m:t> </m:t>
        </m:r>
      </m:oMath>
      <w:r>
        <w:t xml:space="preserve">373), outpacing Hilton (~+9% YTD).</w:t>
      </w:r>
    </w:p>
    <w:p>
      <w:pPr>
        <w:pStyle w:val="Compact"/>
        <w:numPr>
          <w:ilvl w:val="0"/>
          <w:numId w:val="1003"/>
        </w:numPr>
      </w:pPr>
      <w:r>
        <w:t xml:space="preserve">But it's **~7% below its June 12 high of ~</w:t>
      </w:r>
      <m:oMath>
        <m:r>
          <m:t>402</m:t>
        </m:r>
        <m:r>
          <m:rPr>
            <m:sty m:val="p"/>
          </m:rPr>
          <m:t>*</m:t>
        </m:r>
        <m:r>
          <m:rPr>
            <m:sty m:val="p"/>
          </m:rPr>
          <m:t>*</m:t>
        </m:r>
        <m:r>
          <m:t>a</m:t>
        </m:r>
        <m:r>
          <m:t>n</m:t>
        </m:r>
        <m:r>
          <m:t>d</m:t>
        </m:r>
        <m:r>
          <m:t>d</m:t>
        </m:r>
        <m:r>
          <m:t>r</m:t>
        </m:r>
        <m:r>
          <m:t>i</m:t>
        </m:r>
        <m:r>
          <m:t>f</m:t>
        </m:r>
        <m:r>
          <m:t>t</m:t>
        </m:r>
        <m:r>
          <m:t>e</m:t>
        </m:r>
        <m:r>
          <m:t>d</m:t>
        </m:r>
        <m:r>
          <m:t>l</m:t>
        </m:r>
        <m:r>
          <m:t>o</m:t>
        </m:r>
        <m:r>
          <m:t>w</m:t>
        </m:r>
        <m:r>
          <m:t>e</m:t>
        </m:r>
        <m:r>
          <m:t>r</m:t>
        </m:r>
        <m:r>
          <m:t>i</m:t>
        </m:r>
        <m:r>
          <m:t>n</m:t>
        </m:r>
        <m:r>
          <m:t>t</m:t>
        </m:r>
        <m:r>
          <m:t>o</m:t>
        </m:r>
        <m:r>
          <m:t>t</m:t>
        </m:r>
        <m:r>
          <m:t>h</m:t>
        </m:r>
        <m:r>
          <m:t>e</m:t>
        </m:r>
        <m:r>
          <m:t>p</m:t>
        </m:r>
        <m:r>
          <m:t>r</m:t>
        </m:r>
        <m:r>
          <m:t>i</m:t>
        </m:r>
        <m:r>
          <m:t>n</m:t>
        </m:r>
        <m:r>
          <m:t>t</m:t>
        </m:r>
        <m:r>
          <m:rPr>
            <m:sty m:val="p"/>
          </m:rPr>
          <m:t>(</m:t>
        </m:r>
        <m:r>
          <m:t>f</m:t>
        </m:r>
        <m:r>
          <m:t>r</m:t>
        </m:r>
        <m:r>
          <m:t>o</m:t>
        </m:r>
        <m:r>
          <m:t>m</m:t>
        </m:r>
        <m:r>
          <m:t> </m:t>
        </m:r>
      </m:oMath>
      <w:r>
        <w:t xml:space="preserve">383 on July 27 to ~$373 on July 31).</w:t>
      </w:r>
    </w:p>
    <w:p>
      <w:pPr>
        <w:pStyle w:val="Compact"/>
        <w:numPr>
          <w:ilvl w:val="0"/>
          <w:numId w:val="1003"/>
        </w:numPr>
      </w:pPr>
      <w:r>
        <w:t xml:space="preserve">The pullback suggests expectations have cooled somewhat — arguably lowering the bar, though the stock still isn't cheap and has priced in the U.S. re-acceleration.</w:t>
      </w:r>
    </w:p>
    <w:p>
      <w:pPr>
        <w:pStyle w:val="FirstParagraph"/>
      </w:pPr>
      <w:r>
        <w:t xml:space="preserve">Given the run, the reaction likely hinges less on the Q2 headline (Middle East trough is known) and more on:</w:t>
      </w:r>
      <w:r>
        <w:t xml:space="preserve"> </w:t>
      </w:r>
      <w:r>
        <w:rPr>
          <w:b/>
          <w:bCs/>
        </w:rPr>
        <w:t xml:space="preserve">(1) whether U.S./select-service momentum held into summer, (2) any full-year RevPAR/EPS raise, and (3) credit-card deal progress.</w:t>
      </w:r>
    </w:p>
    <w:p>
      <w:r>
        <w:pict>
          <v:rect style="width:0;height:1.5pt" o:hralign="center" o:hrstd="t" o:hr="t"/>
        </w:pict>
      </w:r>
    </w:p>
    <w:bookmarkEnd w:id="16"/>
    <w:bookmarkStart w:id="17" w:name="scenarios-for-the-reaction"/>
    <w:p>
      <w:pPr>
        <w:pStyle w:val="Heading2"/>
      </w:pPr>
      <w:r>
        <w:t xml:space="preserve">Scenarios for the reaction</w:t>
      </w:r>
    </w:p>
    <w:p>
      <w:pPr>
        <w:pStyle w:val="Compact"/>
        <w:numPr>
          <w:ilvl w:val="0"/>
          <w:numId w:val="1004"/>
        </w:numPr>
      </w:pPr>
      <w:r>
        <w:rPr>
          <w:b/>
          <w:bCs/>
        </w:rPr>
        <w:t xml:space="preserve">Bullish:</w:t>
      </w:r>
      <w:r>
        <w:t xml:space="preserve"> </w:t>
      </w:r>
      <w:r>
        <w:t xml:space="preserve">U.S. RevPAR holds mid-single-digits, select service stays positive, full-year RevPAR/EPS raised again, and constructive credit-card commentary → stock retests the $400 high.</w:t>
      </w:r>
    </w:p>
    <w:p>
      <w:pPr>
        <w:pStyle w:val="Compact"/>
        <w:numPr>
          <w:ilvl w:val="0"/>
          <w:numId w:val="1004"/>
        </w:numPr>
      </w:pPr>
      <w:r>
        <w:rPr>
          <w:b/>
          <w:bCs/>
        </w:rPr>
        <w:t xml:space="preserve">Base:</w:t>
      </w:r>
      <w:r>
        <w:t xml:space="preserve"> </w:t>
      </w:r>
      <w:r>
        <w:t xml:space="preserve">In-line Q2 (Middle East trough as guided), FY range reaffirmed, U.S. strength intact → muted move; the story stays "own the compounder."</w:t>
      </w:r>
    </w:p>
    <w:p>
      <w:pPr>
        <w:pStyle w:val="Compact"/>
        <w:numPr>
          <w:ilvl w:val="0"/>
          <w:numId w:val="1004"/>
        </w:numPr>
      </w:pPr>
      <w:r>
        <w:rPr>
          <w:b/>
          <w:bCs/>
        </w:rPr>
        <w:t xml:space="preserve">Bearish:</w:t>
      </w:r>
      <w:r>
        <w:t xml:space="preserve"> </w:t>
      </w:r>
      <w:r>
        <w:t xml:space="preserve">Signs U.S./leisure momentum is fading into H2, Middle East recovery slips, or IMF weakness worse than the mid-single-digit guide → the recent pullback extends, given the premium multiple.</w:t>
      </w:r>
    </w:p>
    <w:p>
      <w:pPr>
        <w:pStyle w:val="FirstParagraph"/>
      </w:pPr>
      <w:r>
        <w:rPr>
          <w:b/>
          <w:bCs/>
        </w:rPr>
        <w:t xml:space="preserve">Bottom line:</w:t>
      </w:r>
      <w:r>
        <w:t xml:space="preserve"> </w:t>
      </w:r>
      <w:r>
        <w:t xml:space="preserve">The Middle East drag is priced and pre-announced; the real alpha is in the durability of the U.S. lower-end demand recovery and any credit-card upside not yet in guidance. Hilton's beat sets a constructive but slightly timing-aided tone. Judge the quarter on U.S./select-service trends, the full-year guide, and IMF trajectory — not the optically soft headline RevPAR.</w:t>
      </w:r>
    </w:p>
    <w:p>
      <w:pPr>
        <w:pStyle w:val="BodyText"/>
      </w:pPr>
      <w:r>
        <w:rPr>
          <w:i/>
          <w:iCs/>
        </w:rPr>
        <w:t xml:space="preserve">Note: Guidance figures are from Marriott's Q1 2026 release/call (May 6, 2026); I did not have access to updated sell-side consensus estimates, so "the bar" here is framed against company guidance and Hilton's actuals.</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2026-08-03T00:05:26Z</dcterms:created>
  <dcterms:modified xsi:type="dcterms:W3CDTF">2026-08-03T00:05:26Z</dcterms:modified>
</cp:coreProperties>
</file>

<file path=docProps/custom.xml><?xml version="1.0" encoding="utf-8"?>
<Properties xmlns="http://schemas.openxmlformats.org/officeDocument/2006/custom-properties" xmlns:vt="http://schemas.openxmlformats.org/officeDocument/2006/docPropsVTypes"/>
</file>