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r-earnings-predictions--2026-08-03"/>
    <w:p>
      <w:pPr>
        <w:pStyle w:val="Heading1"/>
      </w:pPr>
      <w:r>
        <w:t xml:space="preserve">MAR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~$3.09 vs. cons $3.04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constant-dollar RevPAR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~2.4% vs. cons 2.1%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fee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~$1.555B vs. cons $1.548B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worldwide constant-dollar RevPAR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~$5.93B vs. cons $5.94B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~$11.55 vs. cons $11.54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rooms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~4.75% vs. cons 4.75%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(STABILIZE)</w:t>
            </w:r>
          </w:p>
        </w:tc>
        <w:tc>
          <w:tcPr/>
          <w:p>
            <w:pPr>
              <w:pStyle w:val="Compact"/>
            </w:pPr>
            <w:r>
              <w:t xml:space="preserve">A modest EPS and RevPAR beat should support an initial positive reaction, but maintained FY26 RevPAR, EBITDA, and EPS outlooks imply little upward out-period estimate math; the stock should retain most of the gain rather than materially extend 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2026-08-03T00:02:53Z</dcterms:created>
  <dcterms:modified xsi:type="dcterms:W3CDTF">2026-08-03T00:02:53Z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