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733239838555da33954a851aa0f8e210de1ad59"/>
    <w:p>
      <w:pPr>
        <w:pStyle w:val="Heading1"/>
      </w:pPr>
      <w:r>
        <w:t xml:space="preserve">Marriott International (NASDAQ: MAR) — 2Q26 Earnings Preview</w:t>
      </w:r>
    </w:p>
    <w:p>
      <w:pPr>
        <w:pStyle w:val="FirstParagraph"/>
      </w:pPr>
      <w:r>
        <w:rPr>
          <w:b/>
          <w:bCs/>
        </w:rPr>
        <w:t xml:space="preserve">Earnings date:</w:t>
      </w:r>
      <w:r>
        <w:t xml:space="preserve"> </w:t>
      </w:r>
      <w:r>
        <w:t xml:space="preserve">Monday,</w:t>
      </w:r>
      <w:r>
        <w:t xml:space="preserve"> </w:t>
      </w:r>
      <w:r>
        <w:rPr>
          <w:b/>
          <w:bCs/>
        </w:rPr>
        <w:t xml:space="preserve">August 3, 2026</w:t>
      </w:r>
      <w:r>
        <w:t xml:space="preserve">, before the U.S. market open</w:t>
      </w:r>
      <w:r>
        <w:br/>
      </w:r>
      <w:r>
        <w:rPr>
          <w:b/>
          <w:bCs/>
        </w:rPr>
        <w:t xml:space="preserve">Event:</w:t>
      </w:r>
      <w:r>
        <w:t xml:space="preserve"> </w:t>
      </w:r>
      <w:r>
        <w:t xml:space="preserve">2026Q2 Earnings Call</w:t>
      </w:r>
      <w:r>
        <w:br/>
      </w:r>
      <w:r>
        <w:rPr>
          <w:b/>
          <w:bCs/>
        </w:rPr>
        <w:t xml:space="preserve">Preview stance:</w:t>
      </w:r>
      <w:r>
        <w:t xml:space="preserve"> </w:t>
      </w:r>
      <w:r>
        <w:t xml:space="preserve">The key question is not simply whether Marriott beats its quarterly EPS range. Investors will be judging whether resilient U.S. lodging, fee-revenue growth, and unit expansion are sufficiently strong to offset the expected trough in Middle East demand—and whether management can preserve or raise its full-year outlook.</w:t>
      </w:r>
    </w:p>
    <w:bookmarkStart w:id="9" w:name="what-matters-most"/>
    <w:p>
      <w:pPr>
        <w:pStyle w:val="Heading2"/>
      </w:pPr>
      <w:r>
        <w:t xml:space="preserve">What matters most</w:t>
      </w:r>
    </w:p>
    <w:p>
      <w:pPr>
        <w:pStyle w:val="FirstParagraph"/>
      </w:pPr>
      <w:r>
        <w:t xml:space="preserve">Marriott enters the quarter with solid underlying momentum but a more complicated setup than the first quarter:</w:t>
      </w:r>
    </w:p>
    <w:p>
      <w:pPr>
        <w:pStyle w:val="Compact"/>
        <w:numPr>
          <w:ilvl w:val="0"/>
          <w:numId w:val="1001"/>
        </w:numPr>
      </w:pPr>
      <w:r>
        <w:rPr>
          <w:b/>
          <w:bCs/>
        </w:rPr>
        <w:t xml:space="preserve">U.S. &amp; Canada demand had broadened meaningfully</w:t>
      </w:r>
      <w:r>
        <w:t xml:space="preserve"> </w:t>
      </w:r>
      <w:r>
        <w:t xml:space="preserve">in 1Q, with systemwide RevPAR up</w:t>
      </w:r>
      <w:r>
        <w:t xml:space="preserve"> </w:t>
      </w:r>
      <w:r>
        <w:rPr>
          <w:b/>
          <w:bCs/>
        </w:rPr>
        <w:t xml:space="preserve">4.0%</w:t>
      </w:r>
      <w:r>
        <w:t xml:space="preserve">, driven by both ADR and occupancy. Management said the strength continued into April across leisure, group, luxury, and—importantly—select-service hotels.</w:t>
      </w:r>
    </w:p>
    <w:p>
      <w:pPr>
        <w:pStyle w:val="Compact"/>
        <w:numPr>
          <w:ilvl w:val="0"/>
          <w:numId w:val="1001"/>
        </w:numPr>
      </w:pPr>
      <w:r>
        <w:rPr>
          <w:b/>
          <w:bCs/>
        </w:rPr>
        <w:t xml:space="preserve">The Middle East is the clear swing factor.</w:t>
      </w:r>
      <w:r>
        <w:t xml:space="preserve"> </w:t>
      </w:r>
      <w:r>
        <w:t xml:space="preserve">Management forecast that 2Q would be the most affected period, with an anticipated</w:t>
      </w:r>
      <w:r>
        <w:t xml:space="preserve"> </w:t>
      </w:r>
      <w:r>
        <w:rPr>
          <w:b/>
          <w:bCs/>
        </w:rPr>
        <w:t xml:space="preserve">~50% year-over-year RevPAR decline in the region</w:t>
      </w:r>
      <w:r>
        <w:t xml:space="preserve">. The company estimated that Middle East disruption could reduce full-year global RevPAR growth by</w:t>
      </w:r>
      <w:r>
        <w:t xml:space="preserve"> </w:t>
      </w:r>
      <w:r>
        <w:rPr>
          <w:b/>
          <w:bCs/>
        </w:rPr>
        <w:t xml:space="preserve">100–125 bps</w:t>
      </w:r>
      <w:r>
        <w:t xml:space="preserve">.</w:t>
      </w:r>
    </w:p>
    <w:p>
      <w:pPr>
        <w:pStyle w:val="Compact"/>
        <w:numPr>
          <w:ilvl w:val="0"/>
          <w:numId w:val="1001"/>
        </w:numPr>
      </w:pPr>
      <w:r>
        <w:rPr>
          <w:b/>
          <w:bCs/>
        </w:rPr>
        <w:t xml:space="preserve">Fee growth has support beyond RevPAR.</w:t>
      </w:r>
      <w:r>
        <w:t xml:space="preserve"> </w:t>
      </w:r>
      <w:r>
        <w:t xml:space="preserve">In 1Q, gross fee revenue rose</w:t>
      </w:r>
      <w:r>
        <w:t xml:space="preserve"> </w:t>
      </w:r>
      <w:r>
        <w:rPr>
          <w:b/>
          <w:bCs/>
        </w:rPr>
        <w:t xml:space="preserve">12%</w:t>
      </w:r>
      <w:r>
        <w:t xml:space="preserve">, helped by rooms growth and a</w:t>
      </w:r>
      <w:r>
        <w:t xml:space="preserve"> </w:t>
      </w:r>
      <w:r>
        <w:rPr>
          <w:b/>
          <w:bCs/>
        </w:rPr>
        <w:t xml:space="preserve">37% increase in co-branded credit-card fees</w:t>
      </w:r>
      <w:r>
        <w:t xml:space="preserve">. The durability of those ancillary fee streams is especially relevant if lodging demand is mixed by geography.</w:t>
      </w:r>
    </w:p>
    <w:p>
      <w:pPr>
        <w:pStyle w:val="Compact"/>
        <w:numPr>
          <w:ilvl w:val="0"/>
          <w:numId w:val="1001"/>
        </w:numPr>
      </w:pPr>
      <w:r>
        <w:rPr>
          <w:b/>
          <w:bCs/>
        </w:rPr>
        <w:t xml:space="preserve">Development remains a central long-term positive.</w:t>
      </w:r>
      <w:r>
        <w:t xml:space="preserve"> </w:t>
      </w:r>
      <w:r>
        <w:t xml:space="preserve">Marriott exited 1Q with nearly</w:t>
      </w:r>
      <w:r>
        <w:t xml:space="preserve"> </w:t>
      </w:r>
      <w:r>
        <w:rPr>
          <w:b/>
          <w:bCs/>
        </w:rPr>
        <w:t xml:space="preserve">618,000 pipeline rooms</w:t>
      </w:r>
      <w:r>
        <w:t xml:space="preserve">, including over</w:t>
      </w:r>
      <w:r>
        <w:t xml:space="preserve"> </w:t>
      </w:r>
      <w:r>
        <w:rPr>
          <w:b/>
          <w:bCs/>
        </w:rPr>
        <w:t xml:space="preserve">268,000 under construction</w:t>
      </w:r>
      <w:r>
        <w:t xml:space="preserve">, and maintained full-year net-room-growth guidance of</w:t>
      </w:r>
      <w:r>
        <w:t xml:space="preserve"> </w:t>
      </w:r>
      <w:r>
        <w:rPr>
          <w:b/>
          <w:bCs/>
        </w:rPr>
        <w:t xml:space="preserve">4.5%–5.0%</w:t>
      </w:r>
      <w:r>
        <w:t xml:space="preserve">.</w:t>
      </w:r>
    </w:p>
    <w:p>
      <w:pPr>
        <w:pStyle w:val="FirstParagraph"/>
      </w:pPr>
      <w:r>
        <w:t xml:space="preserve">The stock closed at</w:t>
      </w:r>
      <w:r>
        <w:t xml:space="preserve"> </w:t>
      </w:r>
      <w:r>
        <w:rPr>
          <w:b/>
          <w:bCs/>
        </w:rPr>
        <w:t xml:space="preserve">$372.87 on July 31</w:t>
      </w:r>
      <w:r>
        <w:t xml:space="preserve">, up about</w:t>
      </w:r>
      <w:r>
        <w:t xml:space="preserve"> </w:t>
      </w:r>
      <w:r>
        <w:rPr>
          <w:b/>
          <w:bCs/>
        </w:rPr>
        <w:t xml:space="preserve">19.0%</w:t>
      </w:r>
      <w:r>
        <w:t xml:space="preserve"> </w:t>
      </w:r>
      <w:r>
        <w:t xml:space="preserve">from the first trading day of 2026 and roughly</w:t>
      </w:r>
      <w:r>
        <w:t xml:space="preserve"> </w:t>
      </w:r>
      <w:r>
        <w:rPr>
          <w:b/>
          <w:bCs/>
        </w:rPr>
        <w:t xml:space="preserve">16.3% ahead of Hilton</w:t>
      </w:r>
      <w:r>
        <w:t xml:space="preserve"> </w:t>
      </w:r>
      <w:r>
        <w:t xml:space="preserve">over that same period, but about</w:t>
      </w:r>
      <w:r>
        <w:t xml:space="preserve"> </w:t>
      </w:r>
      <w:r>
        <w:rPr>
          <w:b/>
          <w:bCs/>
        </w:rPr>
        <w:t xml:space="preserve">7.4% below</w:t>
      </w:r>
      <w:r>
        <w:t xml:space="preserve"> </w:t>
      </w:r>
      <w:r>
        <w:t xml:space="preserve">its June 12 closing high. That performance suggests investors still view Marriott’s growth algorithm favorably, while leaving the report vulnerable to any deterioration in RevPAR or 2026 guidance.</w:t>
      </w:r>
    </w:p>
    <w:p>
      <w:r>
        <w:pict>
          <v:rect style="width:0;height:1.5pt" o:hralign="center" o:hrstd="t" o:hr="t"/>
        </w:pict>
      </w:r>
    </w:p>
    <w:bookmarkEnd w:id="9"/>
    <w:bookmarkStart w:id="10" w:name="the-setup-versus-marriotts-own-guidance"/>
    <w:p>
      <w:pPr>
        <w:pStyle w:val="Heading2"/>
      </w:pPr>
      <w:r>
        <w:t xml:space="preserve">The setup versus Marriott’s own guidance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Marriott 2Q26 outlook</w:t>
            </w:r>
          </w:p>
        </w:tc>
        <w:tc>
          <w:tcPr/>
          <w:p>
            <w:pPr>
              <w:pStyle w:val="Compact"/>
            </w:pPr>
            <w:r>
              <w:t xml:space="preserve">Investor read-through</w:t>
            </w:r>
          </w:p>
        </w:tc>
      </w:tr>
      <w:tr>
        <w:tc>
          <w:tcPr/>
          <w:p>
            <w:pPr>
              <w:pStyle w:val="Compact"/>
            </w:pPr>
            <w:r>
              <w:t xml:space="preserve">Worldwide constant-dollar RevPAR</w:t>
            </w:r>
          </w:p>
        </w:tc>
        <w:tc>
          <w:tcPr/>
          <w:p>
            <w:pPr>
              <w:pStyle w:val="Compact"/>
              <w:jc w:val="right"/>
            </w:pPr>
            <w:r>
              <w:rPr>
                <w:b/>
                <w:bCs/>
              </w:rPr>
              <w:t xml:space="preserve">+1.5% to +2.5%</w:t>
            </w:r>
          </w:p>
        </w:tc>
        <w:tc>
          <w:tcPr/>
          <w:p>
            <w:pPr>
              <w:pStyle w:val="Compact"/>
            </w:pPr>
            <w:r>
              <w:t xml:space="preserve">The most important operating benchmark</w:t>
            </w:r>
          </w:p>
        </w:tc>
      </w:tr>
      <w:tr>
        <w:tc>
          <w:tcPr/>
          <w:p>
            <w:pPr>
              <w:pStyle w:val="Compact"/>
            </w:pPr>
            <w:r>
              <w:t xml:space="preserve">Gross fee revenue</w:t>
            </w:r>
          </w:p>
        </w:tc>
        <w:tc>
          <w:tcPr/>
          <w:p>
            <w:pPr>
              <w:pStyle w:val="Compact"/>
              <w:jc w:val="right"/>
            </w:pPr>
            <m:oMath>
              <m:r>
                <m:t>1.538</m:t>
              </m:r>
              <m:r>
                <m:t>B</m:t>
              </m:r>
              <m:r>
                <m:rPr>
                  <m:sty m:val="p"/>
                </m:rPr>
                <m:t>–</m:t>
              </m:r>
            </m:oMath>
            <w:r>
              <w:rPr>
                <w:b/>
                <w:bCs/>
              </w:rPr>
              <w:t xml:space="preserve">1.553B</w:t>
            </w:r>
          </w:p>
        </w:tc>
        <w:tc>
          <w:tcPr/>
          <w:p>
            <w:pPr>
              <w:pStyle w:val="Compact"/>
            </w:pPr>
            <w:r>
              <w:t xml:space="preserve">Tests the combination of RevPAR, rooms growth, and licensing/card fees</w:t>
            </w:r>
          </w:p>
        </w:tc>
      </w:tr>
      <w:tr>
        <w:tc>
          <w:tcPr/>
          <w:p>
            <w:pPr>
              <w:pStyle w:val="Compact"/>
            </w:pPr>
            <w:r>
              <w:t xml:space="preserve">Incentive management fees</w:t>
            </w:r>
          </w:p>
        </w:tc>
        <w:tc>
          <w:tcPr/>
          <w:p>
            <w:pPr>
              <w:pStyle w:val="Compact"/>
              <w:jc w:val="right"/>
            </w:pPr>
            <w:r>
              <w:rPr>
                <w:b/>
                <w:bCs/>
              </w:rPr>
              <w:t xml:space="preserve">Mid-single-digit decline</w:t>
            </w:r>
          </w:p>
        </w:tc>
        <w:tc>
          <w:tcPr/>
          <w:p>
            <w:pPr>
              <w:pStyle w:val="Compact"/>
            </w:pPr>
            <w:r>
              <w:t xml:space="preserve">Expected Middle East profit pressure is the main headwind</w:t>
            </w:r>
          </w:p>
        </w:tc>
      </w:tr>
      <w:tr>
        <w:tc>
          <w:tcPr/>
          <w:p>
            <w:pPr>
              <w:pStyle w:val="Compact"/>
            </w:pPr>
            <w:r>
              <w:t xml:space="preserve">Adjusted EBITDA</w:t>
            </w:r>
          </w:p>
        </w:tc>
        <w:tc>
          <w:tcPr/>
          <w:p>
            <w:pPr>
              <w:pStyle w:val="Compact"/>
              <w:jc w:val="right"/>
            </w:pPr>
            <m:oMath>
              <m:r>
                <m:t>1.525</m:t>
              </m:r>
              <m:r>
                <m:t>B</m:t>
              </m:r>
              <m:r>
                <m:rPr>
                  <m:sty m:val="p"/>
                </m:rPr>
                <m:t>–</m:t>
              </m:r>
            </m:oMath>
            <w:r>
              <w:rPr>
                <w:b/>
                <w:bCs/>
              </w:rPr>
              <w:t xml:space="preserve">1.550B</w:t>
            </w:r>
          </w:p>
        </w:tc>
        <w:tc>
          <w:tcPr/>
          <w:p>
            <w:pPr>
              <w:pStyle w:val="Compact"/>
            </w:pPr>
            <w:r>
              <w:t xml:space="preserve">Implies</w:t>
            </w:r>
            <w:r>
              <w:t xml:space="preserve"> </w:t>
            </w:r>
            <w:r>
              <w:rPr>
                <w:b/>
                <w:bCs/>
              </w:rPr>
              <w:t xml:space="preserve">8%–10%</w:t>
            </w:r>
            <w:r>
              <w:t xml:space="preserve"> </w:t>
            </w:r>
            <w:r>
              <w:t xml:space="preserve">growth from 2Q25</w:t>
            </w:r>
          </w:p>
        </w:tc>
      </w:tr>
      <w:tr>
        <w:tc>
          <w:tcPr/>
          <w:p>
            <w:pPr>
              <w:pStyle w:val="Compact"/>
            </w:pPr>
            <w:r>
              <w:t xml:space="preserve">Adjusted diluted EPS</w:t>
            </w:r>
          </w:p>
        </w:tc>
        <w:tc>
          <w:tcPr/>
          <w:p>
            <w:pPr>
              <w:pStyle w:val="Compact"/>
              <w:jc w:val="right"/>
            </w:pPr>
            <m:oMath>
              <m:r>
                <m:t>2.99</m:t>
              </m:r>
              <m:r>
                <m:rPr>
                  <m:sty m:val="p"/>
                </m:rPr>
                <m:t>–</m:t>
              </m:r>
            </m:oMath>
            <w:r>
              <w:rPr>
                <w:b/>
                <w:bCs/>
              </w:rPr>
              <w:t xml:space="preserve">3.06</w:t>
            </w:r>
          </w:p>
        </w:tc>
        <w:tc>
          <w:tcPr/>
          <w:p>
            <w:pPr>
              <w:pStyle w:val="Compact"/>
            </w:pPr>
            <w:r>
              <w:t xml:space="preserve">The headline result, but less informative than the drivers</w:t>
            </w:r>
          </w:p>
        </w:tc>
      </w:tr>
      <w:tr>
        <w:tc>
          <w:tcPr/>
          <w:p>
            <w:pPr>
              <w:pStyle w:val="Compact"/>
            </w:pPr>
            <w:r>
              <w:t xml:space="preserve">Full-year worldwide RevPAR</w:t>
            </w:r>
          </w:p>
        </w:tc>
        <w:tc>
          <w:tcPr/>
          <w:p>
            <w:pPr>
              <w:pStyle w:val="Compact"/>
              <w:jc w:val="right"/>
            </w:pPr>
            <w:r>
              <w:rPr>
                <w:b/>
                <w:bCs/>
              </w:rPr>
              <w:t xml:space="preserve">+2.0% to +3.0%</w:t>
            </w:r>
          </w:p>
        </w:tc>
        <w:tc>
          <w:tcPr/>
          <w:p>
            <w:pPr>
              <w:pStyle w:val="Compact"/>
            </w:pPr>
            <w:r>
              <w:t xml:space="preserve">Guidance durability will likely matter more than a modest quarter beat</w:t>
            </w:r>
          </w:p>
        </w:tc>
      </w:tr>
      <w:tr>
        <w:tc>
          <w:tcPr/>
          <w:p>
            <w:pPr>
              <w:pStyle w:val="Compact"/>
            </w:pPr>
            <w:r>
              <w:t xml:space="preserve">Full-year adjusted EBITDA</w:t>
            </w:r>
          </w:p>
        </w:tc>
        <w:tc>
          <w:tcPr/>
          <w:p>
            <w:pPr>
              <w:pStyle w:val="Compact"/>
              <w:jc w:val="right"/>
            </w:pPr>
            <m:oMath>
              <m:r>
                <m:t>5.88</m:t>
              </m:r>
              <m:r>
                <m:t>B</m:t>
              </m:r>
              <m:r>
                <m:rPr>
                  <m:sty m:val="p"/>
                </m:rPr>
                <m:t>–</m:t>
              </m:r>
            </m:oMath>
            <w:r>
              <w:rPr>
                <w:b/>
                <w:bCs/>
              </w:rPr>
              <w:t xml:space="preserve">5.97B</w:t>
            </w:r>
          </w:p>
        </w:tc>
        <w:tc>
          <w:tcPr/>
          <w:p>
            <w:pPr>
              <w:pStyle w:val="Compact"/>
            </w:pPr>
            <w:r>
              <w:rPr>
                <w:b/>
                <w:bCs/>
              </w:rPr>
              <w:t xml:space="preserve">9%–11%</w:t>
            </w:r>
            <w:r>
              <w:t xml:space="preserve"> </w:t>
            </w:r>
            <w:r>
              <w:t xml:space="preserve">growth versus 2025</w:t>
            </w:r>
          </w:p>
        </w:tc>
      </w:tr>
      <w:tr>
        <w:tc>
          <w:tcPr/>
          <w:p>
            <w:pPr>
              <w:pStyle w:val="Compact"/>
            </w:pPr>
            <w:r>
              <w:t xml:space="preserve">Full-year adjusted EPS</w:t>
            </w:r>
          </w:p>
        </w:tc>
        <w:tc>
          <w:tcPr/>
          <w:p>
            <w:pPr>
              <w:pStyle w:val="Compact"/>
              <w:jc w:val="right"/>
            </w:pPr>
            <m:oMath>
              <m:r>
                <m:t>11.38</m:t>
              </m:r>
              <m:r>
                <m:rPr>
                  <m:sty m:val="p"/>
                </m:rPr>
                <m:t>–</m:t>
              </m:r>
            </m:oMath>
            <w:r>
              <w:rPr>
                <w:b/>
                <w:bCs/>
              </w:rPr>
              <w:t xml:space="preserve">11.63</w:t>
            </w:r>
          </w:p>
        </w:tc>
        <w:tc>
          <w:tcPr/>
          <w:p>
            <w:pPr>
              <w:pStyle w:val="Compact"/>
            </w:pPr>
            <w:r>
              <w:rPr>
                <w:b/>
                <w:bCs/>
              </w:rPr>
              <w:t xml:space="preserve">14%–16%</w:t>
            </w:r>
            <w:r>
              <w:t xml:space="preserve"> </w:t>
            </w:r>
            <w:r>
              <w:t xml:space="preserve">growth, aided by buybacks</w:t>
            </w:r>
          </w:p>
        </w:tc>
      </w:tr>
    </w:tbl>
    <w:bookmarkEnd w:id="10"/>
    <w:bookmarkStart w:id="14" w:name="Xcc6adff1c845451d9ef02252500a3d4be7ed287"/>
    <w:p>
      <w:pPr>
        <w:pStyle w:val="Heading2"/>
      </w:pPr>
      <w:r>
        <w:t xml:space="preserve">Why this quarter could be better than the headline RevPAR outlook</w:t>
      </w:r>
    </w:p>
    <w:bookmarkStart w:id="11" w:name="X8aab862ef37bc23a5eac0bfa23a49b479ff9e92"/>
    <w:p>
      <w:pPr>
        <w:pStyle w:val="Heading3"/>
      </w:pPr>
      <w:r>
        <w:t xml:space="preserve">1. U.S. demand appears healthier and broader</w:t>
      </w:r>
    </w:p>
    <w:p>
      <w:pPr>
        <w:pStyle w:val="FirstParagraph"/>
      </w:pPr>
      <w:r>
        <w:t xml:space="preserve">In 1Q, U.S. &amp; Canada systemwide RevPAR grew 4.0%, with luxury up 6.8%, premium up 3.8%, and select-service up 3.5%. The select-service inflection matters: it reduces concern that performance is confined to affluent leisure consumers and high-end resorts.</w:t>
      </w:r>
    </w:p>
    <w:p>
      <w:pPr>
        <w:pStyle w:val="BodyText"/>
      </w:pPr>
      <w:r>
        <w:t xml:space="preserve">Management also cited continued group strength, with full-year group pace up about 5% at the time of the 1Q call. Strong group business can support full-service hotel profitability, management fees, and visibility into the remainder of 2026.</w:t>
      </w:r>
    </w:p>
    <w:bookmarkEnd w:id="11"/>
    <w:bookmarkStart w:id="12" w:name="X063d7b6b6be947fbffb623d681f8231eb135b1a"/>
    <w:p>
      <w:pPr>
        <w:pStyle w:val="Heading3"/>
      </w:pPr>
      <w:r>
        <w:t xml:space="preserve">2. Fee revenue has multiple growth levers</w:t>
      </w:r>
    </w:p>
    <w:p>
      <w:pPr>
        <w:pStyle w:val="FirstParagraph"/>
      </w:pPr>
      <w:r>
        <w:t xml:space="preserve">Marriott’s asset-light model means the earnings framework is not solely dependent on owned-hotel profit. In 1Q:</w:t>
      </w:r>
    </w:p>
    <w:p>
      <w:pPr>
        <w:pStyle w:val="Compact"/>
        <w:numPr>
          <w:ilvl w:val="0"/>
          <w:numId w:val="1002"/>
        </w:numPr>
      </w:pPr>
      <w:r>
        <w:t xml:space="preserve">Franchise and base-management fees increased</w:t>
      </w:r>
      <w:r>
        <w:t xml:space="preserve"> </w:t>
      </w:r>
      <w:r>
        <w:rPr>
          <w:b/>
          <w:bCs/>
        </w:rPr>
        <w:t xml:space="preserve">13%</w:t>
      </w:r>
      <w:r>
        <w:t xml:space="preserve"> </w:t>
      </w:r>
      <w:r>
        <w:t xml:space="preserve">to</w:t>
      </w:r>
      <w:r>
        <w:t xml:space="preserve"> </w:t>
      </w:r>
      <w:r>
        <w:rPr>
          <w:b/>
          <w:bCs/>
        </w:rPr>
        <w:t xml:space="preserve">$1.211 billion</w:t>
      </w:r>
      <w:r>
        <w:t xml:space="preserve">.</w:t>
      </w:r>
    </w:p>
    <w:p>
      <w:pPr>
        <w:pStyle w:val="Compact"/>
        <w:numPr>
          <w:ilvl w:val="0"/>
          <w:numId w:val="1002"/>
        </w:numPr>
      </w:pPr>
      <w:r>
        <w:t xml:space="preserve">Gross fees increased</w:t>
      </w:r>
      <w:r>
        <w:t xml:space="preserve"> </w:t>
      </w:r>
      <w:r>
        <w:rPr>
          <w:b/>
          <w:bCs/>
        </w:rPr>
        <w:t xml:space="preserve">12%</w:t>
      </w:r>
      <w:r>
        <w:t xml:space="preserve"> </w:t>
      </w:r>
      <w:r>
        <w:t xml:space="preserve">to</w:t>
      </w:r>
      <w:r>
        <w:t xml:space="preserve"> </w:t>
      </w:r>
      <w:r>
        <w:rPr>
          <w:b/>
          <w:bCs/>
        </w:rPr>
        <w:t xml:space="preserve">$1.433 billion</w:t>
      </w:r>
      <w:r>
        <w:t xml:space="preserve">.</w:t>
      </w:r>
    </w:p>
    <w:p>
      <w:pPr>
        <w:pStyle w:val="Compact"/>
        <w:numPr>
          <w:ilvl w:val="0"/>
          <w:numId w:val="1002"/>
        </w:numPr>
      </w:pPr>
      <w:r>
        <w:t xml:space="preserve">Co-branded credit-card fees added</w:t>
      </w:r>
      <w:r>
        <w:t xml:space="preserve"> </w:t>
      </w:r>
      <w:r>
        <w:rPr>
          <w:b/>
          <w:bCs/>
        </w:rPr>
        <w:t xml:space="preserve">$60 million</w:t>
      </w:r>
      <w:r>
        <w:t xml:space="preserve"> </w:t>
      </w:r>
      <w:r>
        <w:t xml:space="preserve">of year-over-year franchise-fee growth.</w:t>
      </w:r>
    </w:p>
    <w:p>
      <w:pPr>
        <w:pStyle w:val="Compact"/>
        <w:numPr>
          <w:ilvl w:val="0"/>
          <w:numId w:val="1002"/>
        </w:numPr>
      </w:pPr>
      <w:r>
        <w:t xml:space="preserve">Residential branding fees increased more than 70%.</w:t>
      </w:r>
    </w:p>
    <w:p>
      <w:pPr>
        <w:pStyle w:val="FirstParagraph"/>
      </w:pPr>
      <w:r>
        <w:t xml:space="preserve">For 2Q, management expected gross fees to rise</w:t>
      </w:r>
      <w:r>
        <w:t xml:space="preserve"> </w:t>
      </w:r>
      <w:r>
        <w:rPr>
          <w:b/>
          <w:bCs/>
        </w:rPr>
        <w:t xml:space="preserve">10%–11%</w:t>
      </w:r>
      <w:r>
        <w:t xml:space="preserve">, even with pressure on incentive fees. A strong print in credit-card and residential fees could therefore cushion a softer RevPAR outcome.</w:t>
      </w:r>
    </w:p>
    <w:bookmarkEnd w:id="12"/>
    <w:bookmarkStart w:id="13" w:name="Xe2fd5e9fd48622d30d2f7eb02480157d602874a"/>
    <w:p>
      <w:pPr>
        <w:pStyle w:val="Heading3"/>
      </w:pPr>
      <w:r>
        <w:t xml:space="preserve">3. Unit growth and conversions remain robust</w:t>
      </w:r>
    </w:p>
    <w:p>
      <w:pPr>
        <w:pStyle w:val="FirstParagraph"/>
      </w:pPr>
      <w:r>
        <w:t xml:space="preserve">Marriott added approximately</w:t>
      </w:r>
      <w:r>
        <w:t xml:space="preserve"> </w:t>
      </w:r>
      <w:r>
        <w:rPr>
          <w:b/>
          <w:bCs/>
        </w:rPr>
        <w:t xml:space="preserve">15,900 net rooms</w:t>
      </w:r>
      <w:r>
        <w:t xml:space="preserve"> </w:t>
      </w:r>
      <w:r>
        <w:t xml:space="preserve">in 1Q and grew net rooms</w:t>
      </w:r>
      <w:r>
        <w:t xml:space="preserve"> </w:t>
      </w:r>
      <w:r>
        <w:rPr>
          <w:b/>
          <w:bCs/>
        </w:rPr>
        <w:t xml:space="preserve">4.5% year over year</w:t>
      </w:r>
      <w:r>
        <w:t xml:space="preserve">. Conversions represented more than 35% of signings and more than 40% of openings during the quarter. The company’s pipeline reached a record level, and management highlighted incremental midscale traction as well as international conversion opportunities.</w:t>
      </w:r>
    </w:p>
    <w:p>
      <w:pPr>
        <w:pStyle w:val="BodyText"/>
      </w:pPr>
      <w:r>
        <w:t xml:space="preserve">For investors with a multi-year horizon, the most constructive outcome would be confirmation that opening cadence and conversion activity remain intact despite geopolitical uncertainty.</w:t>
      </w:r>
    </w:p>
    <w:p>
      <w:r>
        <w:pict>
          <v:rect style="width:0;height:1.5pt" o:hralign="center" o:hrstd="t" o:hr="t"/>
        </w:pict>
      </w:r>
    </w:p>
    <w:bookmarkEnd w:id="13"/>
    <w:bookmarkEnd w:id="14"/>
    <w:bookmarkStart w:id="19" w:name="the-bear-case--what-could-disappoint"/>
    <w:p>
      <w:pPr>
        <w:pStyle w:val="Heading2"/>
      </w:pPr>
      <w:r>
        <w:t xml:space="preserve">The bear case / what could disappoint</w:t>
      </w:r>
    </w:p>
    <w:bookmarkStart w:id="15" w:name="Xc157b3bc85133da568e9cd7ceedc34a574606e6"/>
    <w:p>
      <w:pPr>
        <w:pStyle w:val="Heading3"/>
      </w:pPr>
      <w:r>
        <w:t xml:space="preserve">Middle East pressure may spill over more broadly</w:t>
      </w:r>
    </w:p>
    <w:p>
      <w:pPr>
        <w:pStyle w:val="FirstParagraph"/>
      </w:pPr>
      <w:r>
        <w:t xml:space="preserve">The stated 2Q outlook already anticipates a major Middle East decline, so the issue is whether disruption proves worse or lasts longer than assumed. Marriott had indicated that weaker air connectivity could also affect parts of Asia-Pacific—particularly markets reliant on Middle East hubs—and it had reduced its near-term APEC outlook.</w:t>
      </w:r>
    </w:p>
    <w:p>
      <w:pPr>
        <w:pStyle w:val="BodyText"/>
      </w:pPr>
      <w:r>
        <w:t xml:space="preserve">A disappointment would likely take one of three forms:</w:t>
      </w:r>
    </w:p>
    <w:p>
      <w:pPr>
        <w:pStyle w:val="Compact"/>
        <w:numPr>
          <w:ilvl w:val="0"/>
          <w:numId w:val="1003"/>
        </w:numPr>
      </w:pPr>
      <w:r>
        <w:t xml:space="preserve">Middle East RevPAR is worse than the expected ~50% 2Q decline;</w:t>
      </w:r>
    </w:p>
    <w:p>
      <w:pPr>
        <w:pStyle w:val="Compact"/>
        <w:numPr>
          <w:ilvl w:val="0"/>
          <w:numId w:val="1003"/>
        </w:numPr>
      </w:pPr>
      <w:r>
        <w:t xml:space="preserve">recovery expectations for 3Q and 4Q weaken;</w:t>
      </w:r>
    </w:p>
    <w:p>
      <w:pPr>
        <w:pStyle w:val="Compact"/>
        <w:numPr>
          <w:ilvl w:val="0"/>
          <w:numId w:val="1003"/>
        </w:numPr>
      </w:pPr>
      <w:r>
        <w:t xml:space="preserve">indirect pressure spreads into Europe, India, the Maldives, or other long-haul travel markets.</w:t>
      </w:r>
    </w:p>
    <w:bookmarkEnd w:id="15"/>
    <w:bookmarkStart w:id="16" w:name="Xbe628db6d038adc1b20b1a35c1c541266433491"/>
    <w:p>
      <w:pPr>
        <w:pStyle w:val="Heading3"/>
      </w:pPr>
      <w:r>
        <w:t xml:space="preserve">Incentive fees are vulnerable to hotel-profit pressure</w:t>
      </w:r>
    </w:p>
    <w:p>
      <w:pPr>
        <w:pStyle w:val="FirstParagraph"/>
      </w:pPr>
      <w:r>
        <w:t xml:space="preserve">Management guided to a mid-single-digit decline in 2Q incentive management fees despite solid gross-fee growth. IMF is tied to hotel profitability and is typically more sensitive than franchise fees to disruption, cost inflation, and regional mix. A larger-than-expected decline would be a negative indicator for the quality of fee growth.</w:t>
      </w:r>
    </w:p>
    <w:bookmarkEnd w:id="16"/>
    <w:bookmarkStart w:id="17" w:name="Xac753e28202b1c83d7a776b52e7b0f4721cdb41"/>
    <w:p>
      <w:pPr>
        <w:pStyle w:val="Heading3"/>
      </w:pPr>
      <w:r>
        <w:t xml:space="preserve">Full-year guidance has little room for another external setback</w:t>
      </w:r>
    </w:p>
    <w:p>
      <w:pPr>
        <w:pStyle w:val="FirstParagraph"/>
      </w:pPr>
      <w:r>
        <w:t xml:space="preserve">Marriott raised its full-year global RevPAR outlook to 2%–3% after 1Q outperformance and stronger U.S. &amp; Canada trends. However, that guide still depends on a sequential easing of Middle East pressure, a recovery in affected APEC markets, and the expected World Cup contribution.</w:t>
      </w:r>
    </w:p>
    <w:p>
      <w:pPr>
        <w:pStyle w:val="BodyText"/>
      </w:pPr>
      <w:r>
        <w:t xml:space="preserve">Management previously estimated the World Cup would add</w:t>
      </w:r>
      <w:r>
        <w:t xml:space="preserve"> </w:t>
      </w:r>
      <w:r>
        <w:rPr>
          <w:b/>
          <w:bCs/>
        </w:rPr>
        <w:t xml:space="preserve">30–35 bps</w:t>
      </w:r>
      <w:r>
        <w:t xml:space="preserve"> </w:t>
      </w:r>
      <w:r>
        <w:t xml:space="preserve">to global RevPAR growth in 2026. Investors will want an updated assessment now that the event has concluded and its actual contribution can be measured.</w:t>
      </w:r>
    </w:p>
    <w:bookmarkEnd w:id="17"/>
    <w:bookmarkStart w:id="18" w:name="Xe90214ff535d1380eb25d11cd993b2aeeb5b366"/>
    <w:p>
      <w:pPr>
        <w:pStyle w:val="Heading3"/>
      </w:pPr>
      <w:r>
        <w:t xml:space="preserve">Balance-sheet leverage and capital deployment remain relevant</w:t>
      </w:r>
    </w:p>
    <w:p>
      <w:pPr>
        <w:pStyle w:val="FirstParagraph"/>
      </w:pPr>
      <w:r>
        <w:t xml:space="preserve">At March 31, Marriott had</w:t>
      </w:r>
      <w:r>
        <w:t xml:space="preserve"> </w:t>
      </w:r>
      <m:oMath>
        <m:r>
          <m:t>16.5</m:t>
        </m:r>
        <m:r>
          <m:t>b</m:t>
        </m:r>
        <m:r>
          <m:t>i</m:t>
        </m:r>
        <m:r>
          <m:t>l</m:t>
        </m:r>
        <m:r>
          <m:t>l</m:t>
        </m:r>
        <m:r>
          <m:t>i</m:t>
        </m:r>
        <m:r>
          <m:t>o</m:t>
        </m:r>
        <m:r>
          <m:t>n</m:t>
        </m:r>
        <m:r>
          <m:t>o</m:t>
        </m:r>
        <m:r>
          <m:t>f</m:t>
        </m:r>
        <m:r>
          <m:t>d</m:t>
        </m:r>
        <m:r>
          <m:t>e</m:t>
        </m:r>
        <m:r>
          <m:t>b</m:t>
        </m:r>
        <m:r>
          <m:t>t</m:t>
        </m:r>
        <m:r>
          <m:rPr>
            <m:sty m:val="p"/>
          </m:rPr>
          <m:t>*</m:t>
        </m:r>
        <m:r>
          <m:rPr>
            <m:sty m:val="p"/>
          </m:rPr>
          <m:t>*</m:t>
        </m:r>
        <m:r>
          <m:t>a</m:t>
        </m:r>
        <m:r>
          <m:t>n</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0.5 billion of cash</w:t>
      </w:r>
      <w:r>
        <w:t xml:space="preserve">, though it also had a</w:t>
      </w:r>
      <w:r>
        <w:t xml:space="preserve"> </w:t>
      </w:r>
      <m:oMath>
        <m:r>
          <m:t>4.5</m:t>
        </m:r>
        <m:r>
          <m:t>b</m:t>
        </m:r>
        <m:r>
          <m:t>i</m:t>
        </m:r>
        <m:r>
          <m:t>l</m:t>
        </m:r>
        <m:r>
          <m:t>l</m:t>
        </m:r>
        <m:r>
          <m:t>i</m:t>
        </m:r>
        <m:r>
          <m:t>o</m:t>
        </m:r>
        <m:r>
          <m:t>n</m:t>
        </m:r>
        <m:r>
          <m:t>r</m:t>
        </m:r>
        <m:r>
          <m:t>e</m:t>
        </m:r>
        <m:r>
          <m:t>v</m:t>
        </m:r>
        <m:r>
          <m:t>o</m:t>
        </m:r>
        <m:r>
          <m:t>l</m:t>
        </m:r>
        <m:r>
          <m:t>v</m:t>
        </m:r>
        <m:r>
          <m:t>i</m:t>
        </m:r>
        <m:r>
          <m:t>n</m:t>
        </m:r>
        <m:r>
          <m:t>g</m:t>
        </m:r>
        <m:r>
          <m:t>c</m:t>
        </m:r>
        <m:r>
          <m:t>r</m:t>
        </m:r>
        <m:r>
          <m:t>e</m:t>
        </m:r>
        <m:r>
          <m:t>d</m:t>
        </m:r>
        <m:r>
          <m:t>i</m:t>
        </m:r>
        <m:r>
          <m:t>t</m:t>
        </m:r>
        <m:r>
          <m:t>f</m:t>
        </m:r>
        <m:r>
          <m:t>a</m:t>
        </m:r>
        <m:r>
          <m:t>c</m:t>
        </m:r>
        <m:r>
          <m:t>i</m:t>
        </m:r>
        <m:r>
          <m:t>l</m:t>
        </m:r>
        <m:r>
          <m:t>i</m:t>
        </m:r>
        <m:r>
          <m:t>t</m:t>
        </m:r>
        <m:r>
          <m:t>y</m:t>
        </m:r>
        <m:r>
          <m:rPr>
            <m:sty m:val="p"/>
          </m:rPr>
          <m:t>*</m:t>
        </m:r>
        <m:r>
          <m:rPr>
            <m:sty m:val="p"/>
          </m:rPr>
          <m:t>*</m:t>
        </m:r>
        <m:r>
          <m:t>a</m:t>
        </m:r>
        <m:r>
          <m:t>n</m:t>
        </m:r>
        <m:r>
          <m:t>d</m:t>
        </m:r>
        <m:r>
          <m:t>s</m:t>
        </m:r>
        <m:r>
          <m:t>a</m:t>
        </m:r>
        <m:r>
          <m:t>i</m:t>
        </m:r>
        <m:r>
          <m:t>d</m:t>
        </m:r>
        <m:r>
          <m:t>i</m:t>
        </m:r>
        <m:r>
          <m:t>t</m:t>
        </m:r>
        <m:r>
          <m:t>r</m:t>
        </m:r>
        <m:r>
          <m:t>e</m:t>
        </m:r>
        <m:r>
          <m:t>m</m:t>
        </m:r>
        <m:r>
          <m:t>a</m:t>
        </m:r>
        <m:r>
          <m:t>i</m:t>
        </m:r>
        <m:r>
          <m:t>n</m:t>
        </m:r>
        <m:r>
          <m:t>e</m:t>
        </m:r>
        <m:r>
          <m:t>d</m:t>
        </m:r>
        <m:r>
          <m:t>i</m:t>
        </m:r>
        <m:r>
          <m:t>n</m:t>
        </m:r>
        <m:r>
          <m:t>c</m:t>
        </m:r>
        <m:r>
          <m:t>o</m:t>
        </m:r>
        <m:r>
          <m:t>m</m:t>
        </m:r>
        <m:r>
          <m:t>p</m:t>
        </m:r>
        <m:r>
          <m:t>l</m:t>
        </m:r>
        <m:r>
          <m:t>i</m:t>
        </m:r>
        <m:r>
          <m:t>a</m:t>
        </m:r>
        <m:r>
          <m:t>n</m:t>
        </m:r>
        <m:r>
          <m:t>c</m:t>
        </m:r>
        <m:r>
          <m:t>e</m:t>
        </m:r>
        <m:r>
          <m:t>w</m:t>
        </m:r>
        <m:r>
          <m:t>i</m:t>
        </m:r>
        <m:r>
          <m:t>t</m:t>
        </m:r>
        <m:r>
          <m:t>h</m:t>
        </m:r>
        <m:r>
          <m:t>i</m:t>
        </m:r>
        <m:r>
          <m:t>t</m:t>
        </m:r>
        <m:r>
          <m:t>s</m:t>
        </m:r>
        <m:r>
          <m:t>l</m:t>
        </m:r>
        <m:r>
          <m:t>e</m:t>
        </m:r>
        <m:r>
          <m:t>v</m:t>
        </m:r>
        <m:r>
          <m:t>e</m:t>
        </m:r>
        <m:r>
          <m:t>r</m:t>
        </m:r>
        <m:r>
          <m:t>a</m:t>
        </m:r>
        <m:r>
          <m:t>g</m:t>
        </m:r>
        <m:r>
          <m:t>e</m:t>
        </m:r>
        <m:r>
          <m:t>c</m:t>
        </m:r>
        <m:r>
          <m:t>o</m:t>
        </m:r>
        <m:r>
          <m:t>v</m:t>
        </m:r>
        <m:r>
          <m:t>e</m:t>
        </m:r>
        <m:r>
          <m:t>n</m:t>
        </m:r>
        <m:r>
          <m:t>a</m:t>
        </m:r>
        <m:r>
          <m:t>n</m:t>
        </m:r>
        <m:r>
          <m:t>t</m:t>
        </m:r>
        <m:r>
          <m:rPr>
            <m:sty m:val="p"/>
          </m:rPr>
          <m:t>.</m:t>
        </m:r>
        <m:r>
          <m:t>T</m:t>
        </m:r>
        <m:r>
          <m:t>h</m:t>
        </m:r>
        <m:r>
          <m:t>e</m:t>
        </m:r>
        <m:r>
          <m:t>c</m:t>
        </m:r>
        <m:r>
          <m:t>o</m:t>
        </m:r>
        <m:r>
          <m:t>m</m:t>
        </m:r>
        <m:r>
          <m:t>p</m:t>
        </m:r>
        <m:r>
          <m:t>a</m:t>
        </m:r>
        <m:r>
          <m:t>n</m:t>
        </m:r>
        <m:r>
          <m:t>y</m:t>
        </m:r>
        <m:r>
          <m:t>c</m:t>
        </m:r>
        <m:r>
          <m:t>o</m:t>
        </m:r>
        <m:r>
          <m:t>n</m:t>
        </m:r>
        <m:r>
          <m:t>t</m:t>
        </m:r>
        <m:r>
          <m:t>i</m:t>
        </m:r>
        <m:r>
          <m:t>n</m:t>
        </m:r>
        <m:r>
          <m:t>u</m:t>
        </m:r>
        <m:r>
          <m:t>e</m:t>
        </m:r>
        <m:r>
          <m:t>s</m:t>
        </m:r>
        <m:r>
          <m:t>t</m:t>
        </m:r>
        <m:r>
          <m:t>o</m:t>
        </m:r>
        <m:r>
          <m:t>u</m:t>
        </m:r>
        <m:r>
          <m:t>s</m:t>
        </m:r>
        <m:r>
          <m:t>e</m:t>
        </m:r>
        <m:r>
          <m:t>s</m:t>
        </m:r>
        <m:r>
          <m:t>u</m:t>
        </m:r>
        <m:r>
          <m:t>b</m:t>
        </m:r>
        <m:r>
          <m:t>s</m:t>
        </m:r>
        <m:r>
          <m:t>t</m:t>
        </m:r>
        <m:r>
          <m:t>a</m:t>
        </m:r>
        <m:r>
          <m:t>n</m:t>
        </m:r>
        <m:r>
          <m:t>t</m:t>
        </m:r>
        <m:r>
          <m:t>i</m:t>
        </m:r>
        <m:r>
          <m:t>a</m:t>
        </m:r>
        <m:r>
          <m:t>l</m:t>
        </m:r>
        <m:r>
          <m:t>c</m:t>
        </m:r>
        <m:r>
          <m:t>a</m:t>
        </m:r>
        <m:r>
          <m:t>p</m:t>
        </m:r>
        <m:r>
          <m:t>i</m:t>
        </m:r>
        <m:r>
          <m:t>t</m:t>
        </m:r>
        <m:r>
          <m:t>a</m:t>
        </m:r>
        <m:r>
          <m:t>l</m:t>
        </m:r>
        <m:r>
          <m:t>f</m:t>
        </m:r>
        <m:r>
          <m:t>o</m:t>
        </m:r>
        <m:r>
          <m:t>r</m:t>
        </m:r>
        <m:r>
          <m:t>b</m:t>
        </m:r>
        <m:r>
          <m:t>u</m:t>
        </m:r>
        <m:r>
          <m:t>y</m:t>
        </m:r>
        <m:r>
          <m:t>b</m:t>
        </m:r>
        <m:r>
          <m:t>a</m:t>
        </m:r>
        <m:r>
          <m:t>c</m:t>
        </m:r>
        <m:r>
          <m:t>k</m:t>
        </m:r>
        <m:r>
          <m:t>s</m:t>
        </m:r>
        <m:r>
          <m:t>a</m:t>
        </m:r>
        <m:r>
          <m:t>n</m:t>
        </m:r>
        <m:r>
          <m:t>d</m:t>
        </m:r>
        <m:r>
          <m:t>d</m:t>
        </m:r>
        <m:r>
          <m:t>i</m:t>
        </m:r>
        <m:r>
          <m:t>v</m:t>
        </m:r>
        <m:r>
          <m:t>i</m:t>
        </m:r>
        <m:r>
          <m:t>d</m:t>
        </m:r>
        <m:r>
          <m:t>e</m:t>
        </m:r>
        <m:r>
          <m:t>n</m:t>
        </m:r>
        <m:r>
          <m:t>d</m:t>
        </m:r>
        <m:r>
          <m:t>s</m:t>
        </m:r>
        <m:r>
          <m:rPr>
            <m:sty m:val="p"/>
          </m:rPr>
          <m:t>,</m:t>
        </m:r>
        <m:r>
          <m:t>t</m:t>
        </m:r>
        <m:r>
          <m:t>a</m:t>
        </m:r>
        <m:r>
          <m:t>r</m:t>
        </m:r>
        <m:r>
          <m:t>g</m:t>
        </m:r>
        <m:r>
          <m:t>e</m:t>
        </m:r>
        <m:r>
          <m:t>t</m:t>
        </m:r>
        <m:r>
          <m:t>i</m:t>
        </m:r>
        <m:r>
          <m:t>n</m:t>
        </m:r>
        <m:r>
          <m:t>g</m:t>
        </m:r>
        <m:r>
          <m:t>m</m:t>
        </m:r>
        <m:r>
          <m:t>o</m:t>
        </m:r>
        <m:r>
          <m:t>r</m:t>
        </m:r>
        <m:r>
          <m:t>e</m:t>
        </m:r>
        <m:r>
          <m:t>t</m:t>
        </m:r>
        <m:r>
          <m:t>h</m:t>
        </m:r>
        <m:r>
          <m:t>a</m:t>
        </m:r>
        <m:r>
          <m:t>n</m:t>
        </m:r>
        <m:r>
          <m:rPr>
            <m:sty m:val="p"/>
          </m:rPr>
          <m:t>*</m:t>
        </m:r>
        <m:r>
          <m:rPr>
            <m:sty m:val="p"/>
          </m:rPr>
          <m:t>*</m:t>
        </m:r>
      </m:oMath>
      <w:r>
        <w:rPr>
          <w:b/>
          <w:bCs/>
        </w:rPr>
        <w:t xml:space="preserve">4.4 billion</w:t>
      </w:r>
      <w:r>
        <w:t xml:space="preserve"> </w:t>
      </w:r>
      <w:r>
        <w:t xml:space="preserve">of shareholder returns in 2026.</w:t>
      </w:r>
    </w:p>
    <w:p>
      <w:pPr>
        <w:pStyle w:val="BodyText"/>
      </w:pPr>
      <w:r>
        <w:t xml:space="preserve">That capital-return model is supportive of EPS growth, but it heightens the importance of sustained EBITDA delivery and stable financing conditions.</w:t>
      </w:r>
    </w:p>
    <w:p>
      <w:r>
        <w:pict>
          <v:rect style="width:0;height:1.5pt" o:hralign="center" o:hrstd="t" o:hr="t"/>
        </w:pict>
      </w:r>
    </w:p>
    <w:bookmarkEnd w:id="18"/>
    <w:bookmarkEnd w:id="19"/>
    <w:bookmarkStart w:id="20" w:name="Xa44e5505a653357c29357f10e99224eb76b4394"/>
    <w:p>
      <w:pPr>
        <w:pStyle w:val="Heading2"/>
      </w:pPr>
      <w:r>
        <w:t xml:space="preserve">One reporting item to separate from the core operating story</w:t>
      </w:r>
    </w:p>
    <w:p>
      <w:pPr>
        <w:pStyle w:val="FirstParagraph"/>
      </w:pPr>
      <w:r>
        <w:t xml:space="preserve">Marriott expected to sell a U.S. &amp; Canada hotel during 2Q while retaining a long-term management agreement for the property. The company anticipated a</w:t>
      </w:r>
      <w:r>
        <w:t xml:space="preserve"> </w:t>
      </w:r>
      <m:oMath>
        <m:r>
          <m:t>65</m:t>
        </m:r>
        <m:r>
          <m:t>m</m:t>
        </m:r>
        <m:r>
          <m:t>i</m:t>
        </m:r>
        <m:r>
          <m:t>l</m:t>
        </m:r>
        <m:r>
          <m:t>l</m:t>
        </m:r>
        <m:r>
          <m:t>i</m:t>
        </m:r>
        <m:r>
          <m:t>o</m:t>
        </m:r>
        <m:r>
          <m:t>n</m:t>
        </m:r>
        <m:r>
          <m:rPr>
            <m:sty m:val="p"/>
          </m:rPr>
          <m:t>–</m:t>
        </m:r>
      </m:oMath>
      <w:r>
        <w:rPr>
          <w:b/>
          <w:bCs/>
        </w:rPr>
        <w:t xml:space="preserve">70 million impairment charge</w:t>
      </w:r>
      <w:r>
        <w:t xml:space="preserve"> </w:t>
      </w:r>
      <w:r>
        <w:t xml:space="preserve">associated with the sale.</w:t>
      </w:r>
    </w:p>
    <w:p>
      <w:pPr>
        <w:pStyle w:val="BodyText"/>
      </w:pPr>
      <w:r>
        <w:t xml:space="preserve">Investors should distinguish between:</w:t>
      </w:r>
    </w:p>
    <w:p>
      <w:pPr>
        <w:pStyle w:val="Compact"/>
        <w:numPr>
          <w:ilvl w:val="0"/>
          <w:numId w:val="1004"/>
        </w:numPr>
      </w:pPr>
      <w:r>
        <w:rPr>
          <w:b/>
          <w:bCs/>
        </w:rPr>
        <w:t xml:space="preserve">GAAP earnings effects</w:t>
      </w:r>
      <w:r>
        <w:t xml:space="preserve"> </w:t>
      </w:r>
      <w:r>
        <w:t xml:space="preserve">from the impairment and asset sale;</w:t>
      </w:r>
    </w:p>
    <w:p>
      <w:pPr>
        <w:pStyle w:val="Compact"/>
        <w:numPr>
          <w:ilvl w:val="0"/>
          <w:numId w:val="1004"/>
        </w:numPr>
      </w:pPr>
      <w:r>
        <w:rPr>
          <w:b/>
          <w:bCs/>
        </w:rPr>
        <w:t xml:space="preserve">Adjusted EPS / EBITDA</w:t>
      </w:r>
      <w:r>
        <w:t xml:space="preserve"> </w:t>
      </w:r>
      <w:r>
        <w:t xml:space="preserve">presentation;</w:t>
      </w:r>
    </w:p>
    <w:p>
      <w:pPr>
        <w:pStyle w:val="Compact"/>
        <w:numPr>
          <w:ilvl w:val="0"/>
          <w:numId w:val="1004"/>
        </w:numPr>
      </w:pPr>
      <w:r>
        <w:t xml:space="preserve">The recurring economics of retaining the hotel under management.</w:t>
      </w:r>
    </w:p>
    <w:p>
      <w:pPr>
        <w:pStyle w:val="FirstParagraph"/>
      </w:pPr>
      <w:r>
        <w:t xml:space="preserve">The transaction should not be confused with a deterioration in Marriott’s broader asset-light operating model, but it could complicate headline comparisons.</w:t>
      </w:r>
    </w:p>
    <w:p>
      <w:r>
        <w:pict>
          <v:rect style="width:0;height:1.5pt" o:hralign="center" o:hrstd="t" o:hr="t"/>
        </w:pict>
      </w:r>
    </w:p>
    <w:bookmarkEnd w:id="20"/>
    <w:bookmarkStart w:id="21" w:name="key-items-for-the-call"/>
    <w:p>
      <w:pPr>
        <w:pStyle w:val="Heading2"/>
      </w:pPr>
      <w:r>
        <w:t xml:space="preserve">Key items for the call</w:t>
      </w:r>
    </w:p>
    <w:p>
      <w:pPr>
        <w:numPr>
          <w:ilvl w:val="0"/>
          <w:numId w:val="1005"/>
        </w:numPr>
      </w:pPr>
      <w:r>
        <w:rPr>
          <w:b/>
          <w:bCs/>
        </w:rPr>
        <w:t xml:space="preserve">Worldwide RevPAR versus the +1.5%–2.5% guide.</w:t>
      </w:r>
      <w:r>
        <w:br/>
      </w:r>
      <w:r>
        <w:t xml:space="preserve">Focus on the split between the U.S. &amp; Canada, Middle East, Europe, Greater China, APEC, and CALA.</w:t>
      </w:r>
    </w:p>
    <w:p>
      <w:pPr>
        <w:numPr>
          <w:ilvl w:val="0"/>
          <w:numId w:val="1005"/>
        </w:numPr>
      </w:pPr>
      <w:r>
        <w:rPr>
          <w:b/>
          <w:bCs/>
        </w:rPr>
        <w:t xml:space="preserve">U.S. &amp; Canada breadth.</w:t>
      </w:r>
      <w:r>
        <w:br/>
      </w:r>
      <w:r>
        <w:t xml:space="preserve">Did select-service retain its 1Q momentum? Are group trends still constructive? Is business transient improving, particularly excluding government travel?</w:t>
      </w:r>
    </w:p>
    <w:p>
      <w:pPr>
        <w:numPr>
          <w:ilvl w:val="0"/>
          <w:numId w:val="1005"/>
        </w:numPr>
      </w:pPr>
      <w:r>
        <w:rPr>
          <w:b/>
          <w:bCs/>
        </w:rPr>
        <w:t xml:space="preserve">Middle East trajectory and revised recovery assumptions.</w:t>
      </w:r>
      <w:r>
        <w:br/>
      </w:r>
      <w:r>
        <w:t xml:space="preserve">What did July bookings show? Is management still expecting sequential improvement in 3Q and 4Q?</w:t>
      </w:r>
    </w:p>
    <w:p>
      <w:pPr>
        <w:numPr>
          <w:ilvl w:val="0"/>
          <w:numId w:val="1005"/>
        </w:numPr>
      </w:pPr>
      <w:r>
        <w:rPr>
          <w:b/>
          <w:bCs/>
        </w:rPr>
        <w:t xml:space="preserve">Fee-quality indicators.</w:t>
      </w:r>
      <w:r>
        <w:br/>
      </w:r>
      <w:r>
        <w:t xml:space="preserve">Watch co-branded-card fees, residential-branding fees, franchise/base fees, and the magnitude of the expected IMF decline.</w:t>
      </w:r>
    </w:p>
    <w:p>
      <w:pPr>
        <w:numPr>
          <w:ilvl w:val="0"/>
          <w:numId w:val="1005"/>
        </w:numPr>
      </w:pPr>
      <w:r>
        <w:rPr>
          <w:b/>
          <w:bCs/>
        </w:rPr>
        <w:t xml:space="preserve">2026 guide revisions.</w:t>
      </w:r>
      <w:r>
        <w:br/>
      </w:r>
      <w:r>
        <w:t xml:space="preserve">The market’s reaction will likely hinge on whether the company can maintain the</w:t>
      </w:r>
      <w:r>
        <w:t xml:space="preserve"> </w:t>
      </w:r>
      <w:r>
        <w:rPr>
          <w:b/>
          <w:bCs/>
        </w:rPr>
        <w:t xml:space="preserve">2%–3% global RevPAR</w:t>
      </w:r>
      <w:r>
        <w:t xml:space="preserve">,</w:t>
      </w:r>
      <w:r>
        <w:t xml:space="preserve"> </w:t>
      </w:r>
      <m:oMath>
        <m:r>
          <m:t>5.88</m:t>
        </m:r>
        <m:r>
          <m:t>B</m:t>
        </m:r>
        <m:r>
          <m:rPr>
            <m:sty m:val="p"/>
          </m:rPr>
          <m:t>–</m:t>
        </m:r>
      </m:oMath>
      <w:r>
        <w:rPr>
          <w:b/>
          <w:bCs/>
        </w:rPr>
        <w:t xml:space="preserve">5.97B adjusted EBITDA</w:t>
      </w:r>
      <w:r>
        <w:t xml:space="preserve">, and</w:t>
      </w:r>
      <w:r>
        <w:t xml:space="preserve"> </w:t>
      </w:r>
      <m:oMath>
        <m:r>
          <m:t>11.38</m:t>
        </m:r>
        <m:r>
          <m:rPr>
            <m:sty m:val="p"/>
          </m:rPr>
          <m:t>–</m:t>
        </m:r>
      </m:oMath>
      <w:r>
        <w:rPr>
          <w:b/>
          <w:bCs/>
        </w:rPr>
        <w:t xml:space="preserve">11.63 adjusted EPS</w:t>
      </w:r>
      <w:r>
        <w:t xml:space="preserve"> </w:t>
      </w:r>
      <w:r>
        <w:t xml:space="preserve">outlooks.</w:t>
      </w:r>
    </w:p>
    <w:p>
      <w:pPr>
        <w:numPr>
          <w:ilvl w:val="0"/>
          <w:numId w:val="1005"/>
        </w:numPr>
      </w:pPr>
      <w:r>
        <w:rPr>
          <w:b/>
          <w:bCs/>
        </w:rPr>
        <w:t xml:space="preserve">Credit-card negotiations.</w:t>
      </w:r>
      <w:r>
        <w:br/>
      </w:r>
      <w:r>
        <w:t xml:space="preserve">Marriott said discussions with Visa, Chase, and American Express were progressing and expected new agreements later in 2026. Any update on timing, economics, or 2027 benefit potential could be material.</w:t>
      </w:r>
    </w:p>
    <w:p>
      <w:pPr>
        <w:numPr>
          <w:ilvl w:val="0"/>
          <w:numId w:val="1005"/>
        </w:numPr>
      </w:pPr>
      <w:r>
        <w:rPr>
          <w:b/>
          <w:bCs/>
        </w:rPr>
        <w:t xml:space="preserve">Net rooms growth and development conversion cadence.</w:t>
      </w:r>
      <w:r>
        <w:br/>
      </w:r>
      <w:r>
        <w:t xml:space="preserve">Confirmation of the 4.5%–5.0% full-year net rooms-growth target would reinforce the long-term earnings framework.</w:t>
      </w:r>
    </w:p>
    <w:p>
      <w:r>
        <w:pict>
          <v:rect style="width:0;height:1.5pt" o:hralign="center" o:hrstd="t" o:hr="t"/>
        </w:pict>
      </w:r>
    </w:p>
    <w:bookmarkEnd w:id="21"/>
    <w:bookmarkStart w:id="23" w:name="bottom-line"/>
    <w:p>
      <w:pPr>
        <w:pStyle w:val="Heading2"/>
      </w:pPr>
      <w:r>
        <w:t xml:space="preserve">Bottom line</w:t>
      </w:r>
    </w:p>
    <w:p>
      <w:pPr>
        <w:pStyle w:val="FirstParagraph"/>
      </w:pPr>
      <w:r>
        <w:rPr>
          <w:b/>
          <w:bCs/>
        </w:rPr>
        <w:t xml:space="preserve">The likely investor debate is “operating resilience versus guidance risk.”</w:t>
      </w:r>
      <w:r>
        <w:t xml:space="preserve"> </w:t>
      </w:r>
      <w:r>
        <w:t xml:space="preserve">Marriott’s U.S. demand, growing system, loyalty ecosystem, and non-RevPAR fee streams provide meaningful support. The company also has a credible path to double-digit EBITDA and EPS growth in 2026 if the current geographic disruption remains contained.</w:t>
      </w:r>
    </w:p>
    <w:p>
      <w:pPr>
        <w:pStyle w:val="BodyText"/>
      </w:pPr>
      <w:r>
        <w:t xml:space="preserve">However, the report comes at the expected low point for Middle East operating trends. A simple EPS beat may not be enough if management signals that the regional drag is deeper, more prolonged, or spreading into adjacent markets. Conversely, evidence that U.S. breadth held through July, the Middle East is recovering as expected, and full-year guidance remains intact would reinforce the case that 2Q was a manageable trough rather than the start of a broader slowdown.</w:t>
      </w:r>
    </w:p>
    <w:bookmarkStart w:id="22" w:name="source-materials-reviewed"/>
    <w:p>
      <w:pPr>
        <w:pStyle w:val="Heading3"/>
      </w:pPr>
      <w:r>
        <w:t xml:space="preserve">Source materials reviewed</w:t>
      </w:r>
    </w:p>
    <w:p>
      <w:pPr>
        <w:pStyle w:val="Compact"/>
        <w:numPr>
          <w:ilvl w:val="0"/>
          <w:numId w:val="1006"/>
        </w:numPr>
      </w:pPr>
      <w:r>
        <w:t xml:space="preserve">Marriott 1Q26 earnings release and outlook, issued May 6, 2026</w:t>
      </w:r>
    </w:p>
    <w:p>
      <w:pPr>
        <w:pStyle w:val="Compact"/>
        <w:numPr>
          <w:ilvl w:val="0"/>
          <w:numId w:val="1006"/>
        </w:numPr>
      </w:pPr>
      <w:r>
        <w:t xml:space="preserve">Marriott 1Q26 earnings-call transcript</w:t>
      </w:r>
    </w:p>
    <w:p>
      <w:pPr>
        <w:pStyle w:val="Compact"/>
        <w:numPr>
          <w:ilvl w:val="0"/>
          <w:numId w:val="1006"/>
        </w:numPr>
      </w:pPr>
      <w:r>
        <w:t xml:space="preserve">Marriott 1Q26 Form 10-Q</w:t>
      </w:r>
    </w:p>
    <w:p>
      <w:pPr>
        <w:pStyle w:val="Compact"/>
        <w:numPr>
          <w:ilvl w:val="0"/>
          <w:numId w:val="1006"/>
        </w:numPr>
      </w:pPr>
      <w:r>
        <w:t xml:space="preserve">MAR and HLT historical closing-price data through July 31, 2026</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2026-08-03T00:02:52Z</dcterms:created>
  <dcterms:modified xsi:type="dcterms:W3CDTF">2026-08-03T00:02:52Z</dcterms:modified>
</cp:coreProperties>
</file>

<file path=docProps/custom.xml><?xml version="1.0" encoding="utf-8"?>
<Properties xmlns="http://schemas.openxmlformats.org/officeDocument/2006/custom-properties" xmlns:vt="http://schemas.openxmlformats.org/officeDocument/2006/docPropsVTypes"/>
</file>