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Marriott International (MAR) — Q2 2026 Earnings Preview</w:t>
      </w:r>
    </w:p>
    <w:p>
      <w:r>
        <w:rPr>
          <w:rFonts w:ascii="Calibri" w:hAnsi="Calibri"/>
          <w:b/>
          <w:color w:val="525866"/>
          <w:sz w:val="22"/>
        </w:rPr>
        <w:t xml:space="preserve">Prepared: </w:t>
      </w:r>
      <w:r>
        <w:rPr>
          <w:rFonts w:ascii="Calibri" w:hAnsi="Calibri"/>
          <w:color w:val="525866"/>
          <w:sz w:val="22"/>
        </w:rPr>
        <w:t xml:space="preserve">August 2, 2026     </w:t>
      </w:r>
      <w:r>
        <w:rPr>
          <w:rFonts w:ascii="Calibri" w:hAnsi="Calibri"/>
          <w:b/>
          <w:color w:val="525866"/>
          <w:sz w:val="22"/>
        </w:rPr>
        <w:t xml:space="preserve">Upcoming Earnings: </w:t>
      </w:r>
      <w:r>
        <w:rPr>
          <w:rFonts w:ascii="Calibri" w:hAnsi="Calibri"/>
          <w:color w:val="525866"/>
          <w:sz w:val="22"/>
        </w:rPr>
        <w:t xml:space="preserve">Q2 2026 (expected early August 2026)     </w:t>
      </w:r>
      <w:r>
        <w:rPr>
          <w:rFonts w:ascii="Calibri" w:hAnsi="Calibri"/>
          <w:b/>
          <w:color w:val="525866"/>
          <w:sz w:val="22"/>
        </w:rPr>
        <w:t xml:space="preserve">Last Reported: </w:t>
      </w:r>
      <w:r>
        <w:rPr>
          <w:rFonts w:ascii="Calibri" w:hAnsi="Calibri"/>
          <w:color w:val="525866"/>
          <w:sz w:val="22"/>
        </w:rPr>
        <w:t>Q1 2026 (May 6, 2026)</w:t>
      </w:r>
    </w:p>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MAR's Q2 2026 print looks constructive — peers HLT and H both reported Q2 system-wide RevPAR well above MAR's guided 1.5–2.5% range, suggesting MAR is likely to beat on RevPAR and EBITDA; the key wildcard is whether the Middle East drag was worse than feared and whether credit card fee momentum can offset it.</w:t>
      </w:r>
    </w:p>
    <w:p>
      <w:r>
        <w:rPr>
          <w:rFonts w:ascii="Calibri" w:hAnsi="Calibri"/>
          <w:color w:val="525866"/>
          <w:sz w:val="22"/>
        </w:rPr>
        <w:t xml:space="preserve">Heading into Q2 2026, Marriott's bar appears beatable. Management guided for </w:t>
      </w:r>
      <w:r>
        <w:rPr>
          <w:rFonts w:ascii="Calibri" w:hAnsi="Calibri"/>
          <w:b/>
          <w:color w:val="525866"/>
          <w:sz w:val="22"/>
        </w:rPr>
        <w:t>global RevPAR growth of 1.5–2.5%</w:t>
      </w:r>
      <w:r>
        <w:rPr>
          <w:rFonts w:ascii="Calibri" w:hAnsi="Calibri"/>
          <w:color w:val="525866"/>
          <w:sz w:val="22"/>
        </w:rPr>
        <w:t xml:space="preserve"> for Q2, but peers </w:t>
      </w:r>
      <w:r>
        <w:rPr>
          <w:rFonts w:ascii="Calibri" w:hAnsi="Calibri"/>
          <w:b/>
          <w:color w:val="525866"/>
          <w:sz w:val="22"/>
        </w:rPr>
        <w:t>Hilton (HLT) and Hyatt (H)</w:t>
      </w:r>
      <w:r>
        <w:rPr>
          <w:rFonts w:ascii="Calibri" w:hAnsi="Calibri"/>
          <w:color w:val="525866"/>
          <w:sz w:val="22"/>
        </w:rPr>
        <w:t xml:space="preserve"> — both of which have already reported — delivered system-wide RevPAR growth of </w:t>
      </w:r>
      <w:r>
        <w:rPr>
          <w:rFonts w:ascii="Calibri" w:hAnsi="Calibri"/>
          <w:b/>
          <w:color w:val="525866"/>
          <w:sz w:val="22"/>
        </w:rPr>
        <w:t>+3.9% and +5.9%</w:t>
      </w:r>
      <w:r>
        <w:rPr>
          <w:rFonts w:ascii="Calibri" w:hAnsi="Calibri"/>
          <w:color w:val="525866"/>
          <w:sz w:val="22"/>
        </w:rPr>
        <w:t xml:space="preserve"> respectively, well above MAR's guided range. The primary drag on MAR's Q2 RevPAR is the </w:t>
      </w:r>
      <w:r>
        <w:rPr>
          <w:rFonts w:ascii="Calibri" w:hAnsi="Calibri"/>
          <w:b/>
          <w:color w:val="525866"/>
          <w:sz w:val="22"/>
        </w:rPr>
        <w:t>Middle East conflict</w:t>
      </w:r>
      <w:r>
        <w:rPr>
          <w:rFonts w:ascii="Calibri" w:hAnsi="Calibri"/>
          <w:color w:val="525866"/>
          <w:sz w:val="22"/>
        </w:rPr>
        <w:t xml:space="preserve">, where management guided for approximately -50% RevPAR in Q2 (UAE, Qatar, Saudi Arabia occupancies below 50% in April), but this headwind was also flagged by HLT (Middle East down ~30%) and H (Middle East down 36%), suggesting the impact is broadly in line with expectations. On the positive side, the </w:t>
      </w:r>
      <w:r>
        <w:rPr>
          <w:rFonts w:ascii="Calibri" w:hAnsi="Calibri"/>
          <w:b/>
          <w:color w:val="525866"/>
          <w:sz w:val="22"/>
        </w:rPr>
        <w:t>FIFA World Cup</w:t>
      </w:r>
      <w:r>
        <w:rPr>
          <w:rFonts w:ascii="Calibri" w:hAnsi="Calibri"/>
          <w:color w:val="525866"/>
          <w:sz w:val="22"/>
        </w:rPr>
        <w:t xml:space="preserve"> provided a meaningful tailwind in June — HLT cited ~1.5–1.7% of US RevPAR from the World Cup, H cited ~70bps globally — and MAR's June/July US &amp; Canada bookings were pacing up nicely per the Morgan Stanley conference. </w:t>
      </w:r>
      <w:r>
        <w:rPr>
          <w:rFonts w:ascii="Calibri" w:hAnsi="Calibri"/>
          <w:b/>
          <w:color w:val="525866"/>
          <w:sz w:val="22"/>
        </w:rPr>
        <w:t>Gross fees consensus stands at ~$1.55B for Q2</w:t>
      </w:r>
      <w:r>
        <w:rPr>
          <w:rFonts w:ascii="Calibri" w:hAnsi="Calibri"/>
          <w:color w:val="525866"/>
          <w:sz w:val="22"/>
        </w:rPr>
        <w:t xml:space="preserve">, up ~10–11% YoY, supported by the ~35% credit card fee increase and strong residential branding fees. The stock has </w:t>
      </w:r>
      <w:r>
        <w:rPr>
          <w:rFonts w:ascii="Calibri" w:hAnsi="Calibri"/>
          <w:b/>
          <w:color w:val="525866"/>
          <w:sz w:val="22"/>
        </w:rPr>
        <w:t>underperformed the leisure/hospitality ETF (PEJ) since Q1 earnings (+3.8% vs +8.6%)</w:t>
      </w:r>
      <w:r>
        <w:rPr>
          <w:rFonts w:ascii="Calibri" w:hAnsi="Calibri"/>
          <w:color w:val="525866"/>
          <w:sz w:val="22"/>
        </w:rPr>
        <w:t>, suggesting the market has not fully priced in the peer read-through, creating a potential setup for a positive reaction if RevPAR and EBITDA beat.</w:t>
      </w:r>
    </w:p>
    <w:p>
      <w:r>
        <w:rPr>
          <w:rFonts w:ascii="Calibri" w:hAnsi="Calibri"/>
          <w:b/>
          <w:color w:val="525866"/>
          <w:sz w:val="22"/>
        </w:rPr>
        <w:t xml:space="preserve">Bar: </w:t>
      </w:r>
      <w:r>
        <w:rPr>
          <w:rFonts w:ascii="Calibri" w:hAnsi="Calibri"/>
          <w:color w:val="525866"/>
          <w:sz w:val="22"/>
        </w:rPr>
        <w:t>Consensus is a beatable bar on RevPAR given peer outperformance; Gross Fees and Adjusted EBITDA are the bigger swing factors given the credit card fee step-up and Middle East drag.</w:t>
      </w:r>
    </w:p>
    <w:p>
      <w:r>
        <w:rPr>
          <w:rFonts w:ascii="Calibri" w:hAnsi="Calibri"/>
          <w:b/>
          <w:color w:val="525866"/>
          <w:sz w:val="22"/>
        </w:rPr>
        <w:t xml:space="preserve">Guidance/Tone: </w:t>
      </w:r>
      <w:r>
        <w:rPr>
          <w:rFonts w:ascii="Calibri" w:hAnsi="Calibri"/>
          <w:color w:val="525866"/>
          <w:sz w:val="22"/>
        </w:rPr>
        <w:t>Management raised full-year guidance at Q1 earnings (RevPAR to 2–3%, gross fees to $5.93–5.99B, EBITDA to $5.88–5.97B) and CFO Jennifer Mason confirmed at the June 1 Morgan Stanley conference that Q2 RevPAR was tracking in line with guidance. Tone is cautiously optimistic — confident in leisure and group demand, monitoring back-half macro headwinds (oil prices, inflation).</w:t>
      </w:r>
    </w:p>
    <w:p>
      <w:r>
        <w:rPr>
          <w:rFonts w:ascii="Calibri" w:hAnsi="Calibri"/>
          <w:b/>
          <w:color w:val="525866"/>
          <w:sz w:val="22"/>
        </w:rPr>
        <w:t xml:space="preserve">Estimate Trajectory: </w:t>
      </w:r>
      <w:r>
        <w:rPr>
          <w:rFonts w:ascii="Calibri" w:hAnsi="Calibri"/>
          <w:color w:val="525866"/>
          <w:sz w:val="22"/>
        </w:rPr>
        <w:t>Estimates have drifted modestly higher since Q1 earnings (+0.3–0.9% across key metrics), tracking with raised guidance. Consensus is now at or slightly above the high end of management's EBITDA and EPS guidance ranges, leaving limited room for further upside unless RevPAR or credit card fees surprise positively.</w:t>
      </w:r>
    </w:p>
    <w:p>
      <w:r>
        <w:rPr>
          <w:rFonts w:ascii="Calibri" w:hAnsi="Calibri"/>
          <w:b/>
          <w:color w:val="525866"/>
          <w:sz w:val="22"/>
        </w:rPr>
        <w:t xml:space="preserve">Stock Setup: </w:t>
      </w:r>
      <w:r>
        <w:rPr>
          <w:rFonts w:ascii="Calibri" w:hAnsi="Calibri"/>
          <w:color w:val="525866"/>
          <w:sz w:val="22"/>
        </w:rPr>
        <w:t>MAR has underperformed PEJ (+3.8% vs +8.6% since Q1 earnings), suggesting the market has not fully re-rated MAR alongside the sector. The stock peaked near +12% indexed in mid-June on World Cup/peer sentiment, then gave back gains on back-half deceleration concerns. The relative underperformance vs. PEJ creates a potential positive setup.</w:t>
      </w:r>
    </w:p>
    <w:p>
      <w:r>
        <w:rPr>
          <w:rFonts w:ascii="Calibri" w:hAnsi="Calibri"/>
          <w:b/>
          <w:color w:val="525866"/>
          <w:sz w:val="22"/>
        </w:rPr>
        <w:t xml:space="preserve">Wildcard: </w:t>
      </w:r>
      <w:r>
        <w:rPr>
          <w:rFonts w:ascii="Calibri" w:hAnsi="Calibri"/>
          <w:color w:val="525866"/>
          <w:sz w:val="22"/>
        </w:rPr>
        <w:t>The credit card renewal negotiations with Chase, Amex, and Visa — expected to close later in 2026 — are the single biggest potential catalyst. Any update on deal timing or economics could move the stock materially. On the downside, a worse-than-expected Middle East RevPAR (management guided -50% for Q2) or a deterioration in back-half booking trends would be the key negative surprise.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beatable bar on RevPAR given peer outperformance (HLT +3.9%, H +5.9% vs. MAR guidance of +1.5–2.5%); </w:t>
      </w:r>
      <w:r>
        <w:rPr>
          <w:rFonts w:ascii="Calibri" w:hAnsi="Calibri"/>
          <w:b/>
          <w:color w:val="525866"/>
          <w:sz w:val="22"/>
        </w:rPr>
        <w:t>Gross Fees and Adjusted EBITDA are the bigger swing factors</w:t>
      </w:r>
      <w:r>
        <w:rPr>
          <w:rFonts w:ascii="Calibri" w:hAnsi="Calibri"/>
          <w:color w:val="525866"/>
          <w:sz w:val="22"/>
        </w:rPr>
        <w:t xml:space="preserve"> given the credit card fee step-up and Middle East drag.</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Consensus Estimate (Q2 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System-wide RevPAR Growth (%)</w:t>
            </w:r>
          </w:p>
        </w:tc>
        <w:tc>
          <w:tcPr>
            <w:tcW w:type="dxa" w:w="1234"/>
          </w:tcPr>
          <w:p>
            <w:r>
              <w:rPr>
                <w:rFonts w:ascii="Calibri" w:hAnsi="Calibri"/>
                <w:sz w:val="22"/>
              </w:rPr>
              <w:t>+3.1%</w:t>
            </w:r>
          </w:p>
        </w:tc>
        <w:tc>
          <w:tcPr>
            <w:tcW w:type="dxa" w:w="1234"/>
          </w:tcPr>
          <w:p>
            <w:r>
              <w:rPr>
                <w:rFonts w:ascii="Calibri" w:hAnsi="Calibri"/>
                <w:sz w:val="22"/>
              </w:rPr>
              <w:t>+0.4%</w:t>
            </w:r>
          </w:p>
        </w:tc>
        <w:tc>
          <w:tcPr>
            <w:tcW w:type="dxa" w:w="1234"/>
          </w:tcPr>
          <w:p>
            <w:r>
              <w:rPr>
                <w:rFonts w:ascii="Calibri" w:hAnsi="Calibri"/>
                <w:sz w:val="22"/>
              </w:rPr>
              <w:t>+2.0%</w:t>
            </w:r>
          </w:p>
        </w:tc>
        <w:tc>
          <w:tcPr>
            <w:tcW w:type="dxa" w:w="1234"/>
          </w:tcPr>
          <w:p>
            <w:r>
              <w:rPr>
                <w:rFonts w:ascii="Calibri" w:hAnsi="Calibri"/>
                <w:sz w:val="22"/>
              </w:rPr>
              <w:t>+160bps vs Q2 2025</w:t>
            </w:r>
          </w:p>
        </w:tc>
        <w:tc>
          <w:tcPr>
            <w:tcW w:type="dxa" w:w="1234"/>
          </w:tcPr>
          <w:p>
            <w:r>
              <w:rPr>
                <w:rFonts w:ascii="Calibri" w:hAnsi="Calibri"/>
                <w:sz w:val="22"/>
              </w:rPr>
              <w:t>+1.5% to +2.5%</w:t>
            </w:r>
          </w:p>
        </w:tc>
        <w:tc>
          <w:tcPr>
            <w:tcW w:type="dxa" w:w="1234"/>
          </w:tcPr>
          <w:p>
            <w:r>
              <w:rPr>
                <w:rFonts w:ascii="Calibri" w:hAnsi="Calibri"/>
                <w:sz w:val="22"/>
              </w:rPr>
              <w:t>At midpoint of guidance</w:t>
            </w:r>
          </w:p>
        </w:tc>
      </w:tr>
      <w:tr>
        <w:tc>
          <w:tcPr>
            <w:tcW w:type="dxa" w:w="1234"/>
          </w:tcPr>
          <w:p>
            <w:r>
              <w:rPr>
                <w:rFonts w:ascii="Calibri" w:hAnsi="Calibri"/>
                <w:sz w:val="22"/>
              </w:rPr>
              <w:t>Gross Fees ($B)</w:t>
            </w:r>
          </w:p>
        </w:tc>
        <w:tc>
          <w:tcPr>
            <w:tcW w:type="dxa" w:w="1234"/>
          </w:tcPr>
          <w:p>
            <w:r>
              <w:rPr>
                <w:rFonts w:ascii="Calibri" w:hAnsi="Calibri"/>
                <w:sz w:val="22"/>
              </w:rPr>
              <w:t>$1.433B</w:t>
            </w:r>
          </w:p>
        </w:tc>
        <w:tc>
          <w:tcPr>
            <w:tcW w:type="dxa" w:w="1234"/>
          </w:tcPr>
          <w:p>
            <w:r>
              <w:rPr>
                <w:rFonts w:ascii="Calibri" w:hAnsi="Calibri"/>
                <w:sz w:val="22"/>
              </w:rPr>
              <w:t>$1.400B</w:t>
            </w:r>
          </w:p>
        </w:tc>
        <w:tc>
          <w:tcPr>
            <w:tcW w:type="dxa" w:w="1234"/>
          </w:tcPr>
          <w:p>
            <w:r>
              <w:rPr>
                <w:rFonts w:ascii="Calibri" w:hAnsi="Calibri"/>
                <w:sz w:val="22"/>
              </w:rPr>
              <w:t>$1.555B</w:t>
            </w:r>
          </w:p>
        </w:tc>
        <w:tc>
          <w:tcPr>
            <w:tcW w:type="dxa" w:w="1234"/>
          </w:tcPr>
          <w:p>
            <w:r>
              <w:rPr>
                <w:rFonts w:ascii="Calibri" w:hAnsi="Calibri"/>
                <w:sz w:val="22"/>
              </w:rPr>
              <w:t>+11.1% YoY</w:t>
            </w:r>
          </w:p>
        </w:tc>
        <w:tc>
          <w:tcPr>
            <w:tcW w:type="dxa" w:w="1234"/>
          </w:tcPr>
          <w:p>
            <w:r>
              <w:rPr>
                <w:rFonts w:ascii="Calibri" w:hAnsi="Calibri"/>
                <w:sz w:val="22"/>
              </w:rPr>
              <w:t>Up 10–11% YoY</w:t>
            </w:r>
          </w:p>
        </w:tc>
        <w:tc>
          <w:tcPr>
            <w:tcW w:type="dxa" w:w="1234"/>
          </w:tcPr>
          <w:p>
            <w:r>
              <w:rPr>
                <w:rFonts w:ascii="Calibri" w:hAnsi="Calibri"/>
                <w:sz w:val="22"/>
              </w:rPr>
              <w:t>In line with guidance</w:t>
            </w:r>
          </w:p>
        </w:tc>
      </w:tr>
      <w:tr>
        <w:tc>
          <w:tcPr>
            <w:tcW w:type="dxa" w:w="1234"/>
          </w:tcPr>
          <w:p>
            <w:r>
              <w:rPr>
                <w:rFonts w:ascii="Calibri" w:hAnsi="Calibri"/>
                <w:sz w:val="22"/>
              </w:rPr>
              <w:t>Adjusted EBITDA ($B)</w:t>
            </w:r>
          </w:p>
        </w:tc>
        <w:tc>
          <w:tcPr>
            <w:tcW w:type="dxa" w:w="1234"/>
          </w:tcPr>
          <w:p>
            <w:r>
              <w:rPr>
                <w:rFonts w:ascii="Calibri" w:hAnsi="Calibri"/>
                <w:sz w:val="22"/>
              </w:rPr>
              <w:t>$1.398B (reported)</w:t>
            </w:r>
          </w:p>
        </w:tc>
        <w:tc>
          <w:tcPr>
            <w:tcW w:type="dxa" w:w="1234"/>
          </w:tcPr>
          <w:p>
            <w:r>
              <w:rPr>
                <w:rFonts w:ascii="Calibri" w:hAnsi="Calibri"/>
                <w:sz w:val="22"/>
              </w:rPr>
              <w:t>$1.415B</w:t>
            </w:r>
          </w:p>
        </w:tc>
        <w:tc>
          <w:tcPr>
            <w:tcW w:type="dxa" w:w="1234"/>
          </w:tcPr>
          <w:p>
            <w:r>
              <w:rPr>
                <w:rFonts w:ascii="Calibri" w:hAnsi="Calibri"/>
                <w:sz w:val="22"/>
              </w:rPr>
              <w:t>$1.551B</w:t>
            </w:r>
          </w:p>
        </w:tc>
        <w:tc>
          <w:tcPr>
            <w:tcW w:type="dxa" w:w="1234"/>
          </w:tcPr>
          <w:p>
            <w:r>
              <w:rPr>
                <w:rFonts w:ascii="Calibri" w:hAnsi="Calibri"/>
                <w:sz w:val="22"/>
              </w:rPr>
              <w:t>+9.6% YoY</w:t>
            </w:r>
          </w:p>
        </w:tc>
        <w:tc>
          <w:tcPr>
            <w:tcW w:type="dxa" w:w="1234"/>
          </w:tcPr>
          <w:p>
            <w:r>
              <w:rPr>
                <w:rFonts w:ascii="Calibri" w:hAnsi="Calibri"/>
                <w:sz w:val="22"/>
              </w:rPr>
              <w:t>Up 8–10% YoY</w:t>
            </w:r>
          </w:p>
        </w:tc>
        <w:tc>
          <w:tcPr>
            <w:tcW w:type="dxa" w:w="1234"/>
          </w:tcPr>
          <w:p>
            <w:r>
              <w:rPr>
                <w:rFonts w:ascii="Calibri" w:hAnsi="Calibri"/>
                <w:sz w:val="22"/>
              </w:rPr>
              <w:t>At high end of guidance</w:t>
            </w:r>
          </w:p>
        </w:tc>
      </w:tr>
      <w:tr>
        <w:tc>
          <w:tcPr>
            <w:tcW w:type="dxa" w:w="1234"/>
          </w:tcPr>
          <w:p>
            <w:r>
              <w:rPr>
                <w:rFonts w:ascii="Calibri" w:hAnsi="Calibri"/>
                <w:sz w:val="22"/>
              </w:rPr>
              <w:t>EPS — Diluted Operating ($)</w:t>
            </w:r>
          </w:p>
        </w:tc>
        <w:tc>
          <w:tcPr>
            <w:tcW w:type="dxa" w:w="1234"/>
          </w:tcPr>
          <w:p>
            <w:r>
              <w:rPr>
                <w:rFonts w:ascii="Calibri" w:hAnsi="Calibri"/>
                <w:sz w:val="22"/>
              </w:rPr>
              <w:t>$2.72</w:t>
            </w:r>
          </w:p>
        </w:tc>
        <w:tc>
          <w:tcPr>
            <w:tcW w:type="dxa" w:w="1234"/>
          </w:tcPr>
          <w:p>
            <w:r>
              <w:rPr>
                <w:rFonts w:ascii="Calibri" w:hAnsi="Calibri"/>
                <w:sz w:val="22"/>
              </w:rPr>
              <w:t>$2.65</w:t>
            </w:r>
          </w:p>
        </w:tc>
        <w:tc>
          <w:tcPr>
            <w:tcW w:type="dxa" w:w="1234"/>
          </w:tcPr>
          <w:p>
            <w:r>
              <w:rPr>
                <w:rFonts w:ascii="Calibri" w:hAnsi="Calibri"/>
                <w:sz w:val="22"/>
              </w:rPr>
              <w:t>$3.09</w:t>
            </w:r>
          </w:p>
        </w:tc>
        <w:tc>
          <w:tcPr>
            <w:tcW w:type="dxa" w:w="1234"/>
          </w:tcPr>
          <w:p>
            <w:r>
              <w:rPr>
                <w:rFonts w:ascii="Calibri" w:hAnsi="Calibri"/>
                <w:sz w:val="22"/>
              </w:rPr>
              <w:t>+16.6%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Revenue ($B)</w:t>
            </w:r>
          </w:p>
        </w:tc>
        <w:tc>
          <w:tcPr>
            <w:tcW w:type="dxa" w:w="1234"/>
          </w:tcPr>
          <w:p>
            <w:r>
              <w:rPr>
                <w:rFonts w:ascii="Calibri" w:hAnsi="Calibri"/>
                <w:sz w:val="22"/>
              </w:rPr>
              <w:t>$6.654B</w:t>
            </w:r>
          </w:p>
        </w:tc>
        <w:tc>
          <w:tcPr>
            <w:tcW w:type="dxa" w:w="1234"/>
          </w:tcPr>
          <w:p>
            <w:r>
              <w:rPr>
                <w:rFonts w:ascii="Calibri" w:hAnsi="Calibri"/>
                <w:sz w:val="22"/>
              </w:rPr>
              <w:t>$6.744B</w:t>
            </w:r>
          </w:p>
        </w:tc>
        <w:tc>
          <w:tcPr>
            <w:tcW w:type="dxa" w:w="1234"/>
          </w:tcPr>
          <w:p>
            <w:r>
              <w:rPr>
                <w:rFonts w:ascii="Calibri" w:hAnsi="Calibri"/>
                <w:sz w:val="22"/>
              </w:rPr>
              <w:t>$7.212B</w:t>
            </w:r>
          </w:p>
        </w:tc>
        <w:tc>
          <w:tcPr>
            <w:tcW w:type="dxa" w:w="1234"/>
          </w:tcPr>
          <w:p>
            <w:r>
              <w:rPr>
                <w:rFonts w:ascii="Calibri" w:hAnsi="Calibri"/>
                <w:sz w:val="22"/>
              </w:rPr>
              <w:t>+6.9%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Total Rooms (#)</w:t>
            </w:r>
          </w:p>
        </w:tc>
        <w:tc>
          <w:tcPr>
            <w:tcW w:type="dxa" w:w="1234"/>
          </w:tcPr>
          <w:p>
            <w:r>
              <w:rPr>
                <w:rFonts w:ascii="Calibri" w:hAnsi="Calibri"/>
                <w:sz w:val="22"/>
              </w:rPr>
              <w:t>1,795,810</w:t>
            </w:r>
          </w:p>
        </w:tc>
        <w:tc>
          <w:tcPr>
            <w:tcW w:type="dxa" w:w="1234"/>
          </w:tcPr>
          <w:p>
            <w:r>
              <w:rPr>
                <w:rFonts w:ascii="Calibri" w:hAnsi="Calibri"/>
                <w:sz w:val="22"/>
              </w:rPr>
              <w:t>1,735,820</w:t>
            </w:r>
          </w:p>
        </w:tc>
        <w:tc>
          <w:tcPr>
            <w:tcW w:type="dxa" w:w="1234"/>
          </w:tcPr>
          <w:p>
            <w:r>
              <w:rPr>
                <w:rFonts w:ascii="Calibri" w:hAnsi="Calibri"/>
                <w:sz w:val="22"/>
              </w:rPr>
              <w:t>1,817,530</w:t>
            </w:r>
          </w:p>
        </w:tc>
        <w:tc>
          <w:tcPr>
            <w:tcW w:type="dxa" w:w="1234"/>
          </w:tcPr>
          <w:p>
            <w:r>
              <w:rPr>
                <w:rFonts w:ascii="Calibri" w:hAnsi="Calibri"/>
                <w:sz w:val="22"/>
              </w:rPr>
              <w:t>+4.7% YoY</w:t>
            </w:r>
          </w:p>
        </w:tc>
        <w:tc>
          <w:tcPr>
            <w:tcW w:type="dxa" w:w="1234"/>
          </w:tcPr>
          <w:p>
            <w:r>
              <w:rPr>
                <w:rFonts w:ascii="Calibri" w:hAnsi="Calibri"/>
                <w:sz w:val="22"/>
              </w:rPr>
              <w:t>Net rooms growth 4.5–5%</w:t>
            </w:r>
          </w:p>
        </w:tc>
        <w:tc>
          <w:tcPr>
            <w:tcW w:type="dxa" w:w="1234"/>
          </w:tcPr>
          <w:p>
            <w:r>
              <w:rPr>
                <w:rFonts w:ascii="Calibri" w:hAnsi="Calibri"/>
                <w:sz w:val="22"/>
              </w:rPr>
              <w:t>In line</w:t>
            </w:r>
          </w:p>
        </w:tc>
      </w:tr>
    </w:tbl>
    <w:p>
      <w:r>
        <w:rPr>
          <w:rFonts w:ascii="Calibri" w:hAnsi="Calibri"/>
          <w:i/>
          <w:color w:val="525866"/>
          <w:sz w:val="22"/>
        </w:rPr>
        <w:t>Source: Visible Alpha consensus and actuals. All Q2 2026 figures are consensus estimates. System-wide RevPAR Growth consensus of +2.0% is the latest VA estimate. Adjusted EBITDA Q2 2026 consensus of $1.551B reflects the latest available VA estimate.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RevPAR Growth Reported</w:t>
            </w:r>
          </w:p>
        </w:tc>
        <w:tc>
          <w:tcPr>
            <w:tcW w:type="dxa" w:w="1080"/>
            <w:shd w:val="clear" w:color="auto" w:fill="3B4259"/>
          </w:tcPr>
          <w:p>
            <w:r>
              <w:rPr>
                <w:rFonts w:ascii="Calibri" w:hAnsi="Calibri"/>
                <w:b/>
                <w:color w:val="FFFFFF"/>
                <w:sz w:val="22"/>
              </w:rPr>
              <w:t>RevPAR Growth Consensus</w:t>
            </w:r>
          </w:p>
        </w:tc>
        <w:tc>
          <w:tcPr>
            <w:tcW w:type="dxa" w:w="1080"/>
            <w:shd w:val="clear" w:color="auto" w:fill="3B4259"/>
          </w:tcPr>
          <w:p>
            <w:r>
              <w:rPr>
                <w:rFonts w:ascii="Calibri" w:hAnsi="Calibri"/>
                <w:b/>
                <w:color w:val="FFFFFF"/>
                <w:sz w:val="22"/>
              </w:rPr>
              <w:t>RevPAR Surprise</w:t>
            </w:r>
          </w:p>
        </w:tc>
        <w:tc>
          <w:tcPr>
            <w:tcW w:type="dxa" w:w="1080"/>
            <w:shd w:val="clear" w:color="auto" w:fill="3B4259"/>
          </w:tcPr>
          <w:p>
            <w:r>
              <w:rPr>
                <w:rFonts w:ascii="Calibri" w:hAnsi="Calibri"/>
                <w:b/>
                <w:color w:val="FFFFFF"/>
                <w:sz w:val="22"/>
              </w:rPr>
              <w:t>EBITDA Reported ($B)</w:t>
            </w:r>
          </w:p>
        </w:tc>
        <w:tc>
          <w:tcPr>
            <w:tcW w:type="dxa" w:w="1080"/>
            <w:shd w:val="clear" w:color="auto" w:fill="3B4259"/>
          </w:tcPr>
          <w:p>
            <w:r>
              <w:rPr>
                <w:rFonts w:ascii="Calibri" w:hAnsi="Calibri"/>
                <w:b/>
                <w:color w:val="FFFFFF"/>
                <w:sz w:val="22"/>
              </w:rPr>
              <w:t>EBITDA Consensus ($B)</w:t>
            </w:r>
          </w:p>
        </w:tc>
        <w:tc>
          <w:tcPr>
            <w:tcW w:type="dxa" w:w="1080"/>
            <w:shd w:val="clear" w:color="auto" w:fill="3B4259"/>
          </w:tcPr>
          <w:p>
            <w:r>
              <w:rPr>
                <w:rFonts w:ascii="Calibri" w:hAnsi="Calibri"/>
                <w:b/>
                <w:color w:val="FFFFFF"/>
                <w:sz w:val="22"/>
              </w:rPr>
              <w:t>EBITDA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+3.1%</w:t>
            </w:r>
          </w:p>
        </w:tc>
        <w:tc>
          <w:tcPr>
            <w:tcW w:type="dxa" w:w="1080"/>
          </w:tcPr>
          <w:p>
            <w:r>
              <w:rPr>
                <w:rFonts w:ascii="Calibri" w:hAnsi="Calibri"/>
                <w:sz w:val="22"/>
              </w:rPr>
              <w:t>+2.4%</w:t>
            </w:r>
          </w:p>
        </w:tc>
        <w:tc>
          <w:tcPr>
            <w:tcW w:type="dxa" w:w="1080"/>
          </w:tcPr>
          <w:p>
            <w:r>
              <w:rPr>
                <w:rFonts w:ascii="Calibri" w:hAnsi="Calibri"/>
                <w:b/>
                <w:color w:val="30A46C"/>
                <w:sz w:val="22"/>
              </w:rPr>
              <w:t>+70bps</w:t>
            </w:r>
          </w:p>
        </w:tc>
        <w:tc>
          <w:tcPr>
            <w:tcW w:type="dxa" w:w="1080"/>
          </w:tcPr>
          <w:p>
            <w:r>
              <w:rPr>
                <w:rFonts w:ascii="Calibri" w:hAnsi="Calibri"/>
                <w:sz w:val="22"/>
              </w:rPr>
              <w:t>$1.398B</w:t>
            </w:r>
          </w:p>
        </w:tc>
        <w:tc>
          <w:tcPr>
            <w:tcW w:type="dxa" w:w="1080"/>
          </w:tcPr>
          <w:p>
            <w:r>
              <w:rPr>
                <w:rFonts w:ascii="Calibri" w:hAnsi="Calibri"/>
                <w:sz w:val="22"/>
              </w:rPr>
              <w:t>$1.324B</w:t>
            </w:r>
          </w:p>
        </w:tc>
        <w:tc>
          <w:tcPr>
            <w:tcW w:type="dxa" w:w="1080"/>
          </w:tcPr>
          <w:p>
            <w:r>
              <w:rPr>
                <w:rFonts w:ascii="Calibri" w:hAnsi="Calibri"/>
                <w:b/>
                <w:color w:val="30A46C"/>
                <w:sz w:val="22"/>
              </w:rPr>
              <w:t>+5.6%</w:t>
            </w:r>
          </w:p>
        </w:tc>
        <w:tc>
          <w:tcPr>
            <w:tcW w:type="dxa" w:w="1080"/>
          </w:tcPr>
          <w:p>
            <w:r>
              <w:rPr>
                <w:rFonts w:ascii="Calibri" w:hAnsi="Calibri"/>
                <w:b/>
                <w:sz w:val="22"/>
              </w:rPr>
              <w:t>Beat</w:t>
            </w:r>
          </w:p>
        </w:tc>
      </w:tr>
      <w:tr>
        <w:tc>
          <w:tcPr>
            <w:tcW w:type="dxa" w:w="1080"/>
          </w:tcPr>
          <w:p>
            <w:r>
              <w:rPr>
                <w:rFonts w:ascii="Calibri" w:hAnsi="Calibri"/>
                <w:sz w:val="22"/>
              </w:rPr>
              <w:t>Q4 2025</w:t>
            </w:r>
          </w:p>
        </w:tc>
        <w:tc>
          <w:tcPr>
            <w:tcW w:type="dxa" w:w="1080"/>
          </w:tcPr>
          <w:p>
            <w:r>
              <w:rPr>
                <w:rFonts w:ascii="Calibri" w:hAnsi="Calibri"/>
                <w:sz w:val="22"/>
              </w:rPr>
              <w:t>+1.1%</w:t>
            </w:r>
          </w:p>
        </w:tc>
        <w:tc>
          <w:tcPr>
            <w:tcW w:type="dxa" w:w="1080"/>
          </w:tcPr>
          <w:p>
            <w:r>
              <w:rPr>
                <w:rFonts w:ascii="Calibri" w:hAnsi="Calibri"/>
                <w:sz w:val="22"/>
              </w:rPr>
              <w:t>+1.0%</w:t>
            </w:r>
          </w:p>
        </w:tc>
        <w:tc>
          <w:tcPr>
            <w:tcW w:type="dxa" w:w="1080"/>
          </w:tcPr>
          <w:p>
            <w:r>
              <w:rPr>
                <w:rFonts w:ascii="Calibri" w:hAnsi="Calibri"/>
                <w:b/>
                <w:color w:val="30A46C"/>
                <w:sz w:val="22"/>
              </w:rPr>
              <w:t>+10bps</w:t>
            </w:r>
          </w:p>
        </w:tc>
        <w:tc>
          <w:tcPr>
            <w:tcW w:type="dxa" w:w="1080"/>
          </w:tcPr>
          <w:p>
            <w:r>
              <w:rPr>
                <w:rFonts w:ascii="Calibri" w:hAnsi="Calibri"/>
                <w:sz w:val="22"/>
              </w:rPr>
              <w:t>$1.402B</w:t>
            </w:r>
          </w:p>
        </w:tc>
        <w:tc>
          <w:tcPr>
            <w:tcW w:type="dxa" w:w="1080"/>
          </w:tcPr>
          <w:p>
            <w:r>
              <w:rPr>
                <w:rFonts w:ascii="Calibri" w:hAnsi="Calibri"/>
                <w:sz w:val="22"/>
              </w:rPr>
              <w:t>$1.390B</w:t>
            </w:r>
          </w:p>
        </w:tc>
        <w:tc>
          <w:tcPr>
            <w:tcW w:type="dxa" w:w="1080"/>
          </w:tcPr>
          <w:p>
            <w:r>
              <w:rPr>
                <w:rFonts w:ascii="Calibri" w:hAnsi="Calibri"/>
                <w:b/>
                <w:color w:val="30A46C"/>
                <w:sz w:val="22"/>
              </w:rPr>
              <w:t>+0.9%</w:t>
            </w:r>
          </w:p>
        </w:tc>
        <w:tc>
          <w:tcPr>
            <w:tcW w:type="dxa" w:w="1080"/>
          </w:tcPr>
          <w:p>
            <w:r>
              <w:rPr>
                <w:rFonts w:ascii="Calibri" w:hAnsi="Calibri"/>
                <w:b/>
                <w:sz w:val="22"/>
              </w:rPr>
              <w:t>Beat</w:t>
            </w:r>
          </w:p>
        </w:tc>
      </w:tr>
      <w:tr>
        <w:tc>
          <w:tcPr>
            <w:tcW w:type="dxa" w:w="1080"/>
          </w:tcPr>
          <w:p>
            <w:r>
              <w:rPr>
                <w:rFonts w:ascii="Calibri" w:hAnsi="Calibri"/>
                <w:sz w:val="22"/>
              </w:rPr>
              <w:t>Q3 2025</w:t>
            </w:r>
          </w:p>
        </w:tc>
        <w:tc>
          <w:tcPr>
            <w:tcW w:type="dxa" w:w="1080"/>
          </w:tcPr>
          <w:p>
            <w:r>
              <w:rPr>
                <w:rFonts w:ascii="Calibri" w:hAnsi="Calibri"/>
                <w:sz w:val="22"/>
              </w:rPr>
              <w:t>-0.2%</w:t>
            </w:r>
          </w:p>
        </w:tc>
        <w:tc>
          <w:tcPr>
            <w:tcW w:type="dxa" w:w="1080"/>
          </w:tcPr>
          <w:p>
            <w:r>
              <w:rPr>
                <w:rFonts w:ascii="Calibri" w:hAnsi="Calibri"/>
                <w:sz w:val="22"/>
              </w:rPr>
              <w:t>+0.1%</w:t>
            </w:r>
          </w:p>
        </w:tc>
        <w:tc>
          <w:tcPr>
            <w:tcW w:type="dxa" w:w="1080"/>
          </w:tcPr>
          <w:p>
            <w:r>
              <w:rPr>
                <w:rFonts w:ascii="Calibri" w:hAnsi="Calibri"/>
                <w:b/>
                <w:color w:val="E5484D"/>
                <w:sz w:val="22"/>
              </w:rPr>
              <w:t>-30bps</w:t>
            </w:r>
          </w:p>
        </w:tc>
        <w:tc>
          <w:tcPr>
            <w:tcW w:type="dxa" w:w="1080"/>
          </w:tcPr>
          <w:p>
            <w:r>
              <w:rPr>
                <w:rFonts w:ascii="Calibri" w:hAnsi="Calibri"/>
                <w:sz w:val="22"/>
              </w:rPr>
              <w:t>$1.349B</w:t>
            </w:r>
          </w:p>
        </w:tc>
        <w:tc>
          <w:tcPr>
            <w:tcW w:type="dxa" w:w="1080"/>
          </w:tcPr>
          <w:p>
            <w:r>
              <w:rPr>
                <w:rFonts w:ascii="Calibri" w:hAnsi="Calibri"/>
                <w:sz w:val="22"/>
              </w:rPr>
              <w:t>$1.311B</w:t>
            </w:r>
          </w:p>
        </w:tc>
        <w:tc>
          <w:tcPr>
            <w:tcW w:type="dxa" w:w="1080"/>
          </w:tcPr>
          <w:p>
            <w:r>
              <w:rPr>
                <w:rFonts w:ascii="Calibri" w:hAnsi="Calibri"/>
                <w:b/>
                <w:color w:val="30A46C"/>
                <w:sz w:val="22"/>
              </w:rPr>
              <w:t>+2.9%</w:t>
            </w:r>
          </w:p>
        </w:tc>
        <w:tc>
          <w:tcPr>
            <w:tcW w:type="dxa" w:w="1080"/>
          </w:tcPr>
          <w:p>
            <w:r>
              <w:rPr>
                <w:rFonts w:ascii="Calibri" w:hAnsi="Calibri"/>
                <w:sz w:val="22"/>
              </w:rPr>
              <w:t>Mixed</w:t>
            </w:r>
          </w:p>
        </w:tc>
      </w:tr>
      <w:tr>
        <w:tc>
          <w:tcPr>
            <w:tcW w:type="dxa" w:w="1080"/>
          </w:tcPr>
          <w:p>
            <w:r>
              <w:rPr>
                <w:rFonts w:ascii="Calibri" w:hAnsi="Calibri"/>
                <w:sz w:val="22"/>
              </w:rPr>
              <w:t>Q2 2025</w:t>
            </w:r>
          </w:p>
        </w:tc>
        <w:tc>
          <w:tcPr>
            <w:tcW w:type="dxa" w:w="1080"/>
          </w:tcPr>
          <w:p>
            <w:r>
              <w:rPr>
                <w:rFonts w:ascii="Calibri" w:hAnsi="Calibri"/>
                <w:sz w:val="22"/>
              </w:rPr>
              <w:t>+0.4%</w:t>
            </w:r>
          </w:p>
        </w:tc>
        <w:tc>
          <w:tcPr>
            <w:tcW w:type="dxa" w:w="1080"/>
          </w:tcPr>
          <w:p>
            <w:r>
              <w:rPr>
                <w:rFonts w:ascii="Calibri" w:hAnsi="Calibri"/>
                <w:sz w:val="22"/>
              </w:rPr>
              <w:t>+1.1%</w:t>
            </w:r>
          </w:p>
        </w:tc>
        <w:tc>
          <w:tcPr>
            <w:tcW w:type="dxa" w:w="1080"/>
          </w:tcPr>
          <w:p>
            <w:r>
              <w:rPr>
                <w:rFonts w:ascii="Calibri" w:hAnsi="Calibri"/>
                <w:b/>
                <w:color w:val="E5484D"/>
                <w:sz w:val="22"/>
              </w:rPr>
              <w:t>-70bps</w:t>
            </w:r>
          </w:p>
        </w:tc>
        <w:tc>
          <w:tcPr>
            <w:tcW w:type="dxa" w:w="1080"/>
          </w:tcPr>
          <w:p>
            <w:r>
              <w:rPr>
                <w:rFonts w:ascii="Calibri" w:hAnsi="Calibri"/>
                <w:sz w:val="22"/>
              </w:rPr>
              <w:t>$1.415B</w:t>
            </w:r>
          </w:p>
        </w:tc>
        <w:tc>
          <w:tcPr>
            <w:tcW w:type="dxa" w:w="1080"/>
          </w:tcPr>
          <w:p>
            <w:r>
              <w:rPr>
                <w:rFonts w:ascii="Calibri" w:hAnsi="Calibri"/>
                <w:sz w:val="22"/>
              </w:rPr>
              <w:t>$1.385B</w:t>
            </w:r>
          </w:p>
        </w:tc>
        <w:tc>
          <w:tcPr>
            <w:tcW w:type="dxa" w:w="1080"/>
          </w:tcPr>
          <w:p>
            <w:r>
              <w:rPr>
                <w:rFonts w:ascii="Calibri" w:hAnsi="Calibri"/>
                <w:b/>
                <w:color w:val="30A46C"/>
                <w:sz w:val="22"/>
              </w:rPr>
              <w:t>+2.2%</w:t>
            </w:r>
          </w:p>
        </w:tc>
        <w:tc>
          <w:tcPr>
            <w:tcW w:type="dxa" w:w="1080"/>
          </w:tcPr>
          <w:p>
            <w:r>
              <w:rPr>
                <w:rFonts w:ascii="Calibri" w:hAnsi="Calibri"/>
                <w:sz w:val="22"/>
              </w:rPr>
              <w:t>Mixed</w:t>
            </w:r>
          </w:p>
        </w:tc>
      </w:tr>
      <w:tr>
        <w:tc>
          <w:tcPr>
            <w:tcW w:type="dxa" w:w="1080"/>
          </w:tcPr>
          <w:p>
            <w:r>
              <w:rPr>
                <w:rFonts w:ascii="Calibri" w:hAnsi="Calibri"/>
                <w:sz w:val="22"/>
              </w:rPr>
              <w:t>Q1 2025</w:t>
            </w:r>
          </w:p>
        </w:tc>
        <w:tc>
          <w:tcPr>
            <w:tcW w:type="dxa" w:w="1080"/>
          </w:tcPr>
          <w:p>
            <w:r>
              <w:rPr>
                <w:rFonts w:ascii="Calibri" w:hAnsi="Calibri"/>
                <w:sz w:val="22"/>
              </w:rPr>
              <w:t>+1.1%</w:t>
            </w:r>
          </w:p>
        </w:tc>
        <w:tc>
          <w:tcPr>
            <w:tcW w:type="dxa" w:w="1080"/>
          </w:tcPr>
          <w:p>
            <w:r>
              <w:rPr>
                <w:rFonts w:ascii="Calibri" w:hAnsi="Calibri"/>
                <w:sz w:val="22"/>
              </w:rPr>
              <w:t>+2.6%</w:t>
            </w:r>
          </w:p>
        </w:tc>
        <w:tc>
          <w:tcPr>
            <w:tcW w:type="dxa" w:w="1080"/>
          </w:tcPr>
          <w:p>
            <w:r>
              <w:rPr>
                <w:rFonts w:ascii="Calibri" w:hAnsi="Calibri"/>
                <w:b/>
                <w:color w:val="E5484D"/>
                <w:sz w:val="22"/>
              </w:rPr>
              <w:t>-150bps</w:t>
            </w:r>
          </w:p>
        </w:tc>
        <w:tc>
          <w:tcPr>
            <w:tcW w:type="dxa" w:w="1080"/>
          </w:tcPr>
          <w:p>
            <w:r>
              <w:rPr>
                <w:rFonts w:ascii="Calibri" w:hAnsi="Calibri"/>
                <w:sz w:val="22"/>
              </w:rPr>
              <w:t>$1.217B</w:t>
            </w:r>
          </w:p>
        </w:tc>
        <w:tc>
          <w:tcPr>
            <w:tcW w:type="dxa" w:w="1080"/>
          </w:tcPr>
          <w:p>
            <w:r>
              <w:rPr>
                <w:rFonts w:ascii="Calibri" w:hAnsi="Calibri"/>
                <w:sz w:val="22"/>
              </w:rPr>
              <w:t>$1.185B</w:t>
            </w:r>
          </w:p>
        </w:tc>
        <w:tc>
          <w:tcPr>
            <w:tcW w:type="dxa" w:w="1080"/>
          </w:tcPr>
          <w:p>
            <w:r>
              <w:rPr>
                <w:rFonts w:ascii="Calibri" w:hAnsi="Calibri"/>
                <w:b/>
                <w:color w:val="30A46C"/>
                <w:sz w:val="22"/>
              </w:rPr>
              <w:t>+2.7%</w:t>
            </w:r>
          </w:p>
        </w:tc>
        <w:tc>
          <w:tcPr>
            <w:tcW w:type="dxa" w:w="1080"/>
          </w:tcPr>
          <w:p>
            <w:r>
              <w:rPr>
                <w:rFonts w:ascii="Calibri" w:hAnsi="Calibri"/>
                <w:sz w:val="22"/>
              </w:rPr>
              <w:t>Mixed</w:t>
            </w:r>
          </w:p>
        </w:tc>
      </w:tr>
      <w:tr>
        <w:tc>
          <w:tcPr>
            <w:tcW w:type="dxa" w:w="1080"/>
          </w:tcPr>
          <w:p>
            <w:r>
              <w:rPr>
                <w:rFonts w:ascii="Calibri" w:hAnsi="Calibri"/>
                <w:sz w:val="22"/>
              </w:rPr>
              <w:t>Q4 2024</w:t>
            </w:r>
          </w:p>
        </w:tc>
        <w:tc>
          <w:tcPr>
            <w:tcW w:type="dxa" w:w="1080"/>
          </w:tcPr>
          <w:p>
            <w:r>
              <w:rPr>
                <w:rFonts w:ascii="Calibri" w:hAnsi="Calibri"/>
                <w:sz w:val="22"/>
              </w:rPr>
              <w:t>+4.3%</w:t>
            </w:r>
          </w:p>
        </w:tc>
        <w:tc>
          <w:tcPr>
            <w:tcW w:type="dxa" w:w="1080"/>
          </w:tcPr>
          <w:p>
            <w:r>
              <w:rPr>
                <w:rFonts w:ascii="Calibri" w:hAnsi="Calibri"/>
                <w:sz w:val="22"/>
              </w:rPr>
              <w:t>+3.4%</w:t>
            </w:r>
          </w:p>
        </w:tc>
        <w:tc>
          <w:tcPr>
            <w:tcW w:type="dxa" w:w="1080"/>
          </w:tcPr>
          <w:p>
            <w:r>
              <w:rPr>
                <w:rFonts w:ascii="Calibri" w:hAnsi="Calibri"/>
                <w:b/>
                <w:color w:val="30A46C"/>
                <w:sz w:val="22"/>
              </w:rPr>
              <w:t>+90bps</w:t>
            </w:r>
          </w:p>
        </w:tc>
        <w:tc>
          <w:tcPr>
            <w:tcW w:type="dxa" w:w="1080"/>
          </w:tcPr>
          <w:p>
            <w:r>
              <w:rPr>
                <w:rFonts w:ascii="Calibri" w:hAnsi="Calibri"/>
                <w:sz w:val="22"/>
              </w:rPr>
              <w:t>$1.286B</w:t>
            </w:r>
          </w:p>
        </w:tc>
        <w:tc>
          <w:tcPr>
            <w:tcW w:type="dxa" w:w="1080"/>
          </w:tcPr>
          <w:p>
            <w:r>
              <w:rPr>
                <w:rFonts w:ascii="Calibri" w:hAnsi="Calibri"/>
                <w:sz w:val="22"/>
              </w:rPr>
              <w:t>$1.260B</w:t>
            </w:r>
          </w:p>
        </w:tc>
        <w:tc>
          <w:tcPr>
            <w:tcW w:type="dxa" w:w="1080"/>
          </w:tcPr>
          <w:p>
            <w:r>
              <w:rPr>
                <w:rFonts w:ascii="Calibri" w:hAnsi="Calibri"/>
                <w:b/>
                <w:color w:val="30A46C"/>
                <w:sz w:val="22"/>
              </w:rPr>
              <w:t>+2.1%</w:t>
            </w:r>
          </w:p>
        </w:tc>
        <w:tc>
          <w:tcPr>
            <w:tcW w:type="dxa" w:w="1080"/>
          </w:tcPr>
          <w:p>
            <w:r>
              <w:rPr>
                <w:rFonts w:ascii="Calibri" w:hAnsi="Calibri"/>
                <w:b/>
                <w:sz w:val="22"/>
              </w:rPr>
              <w:t>Beat</w:t>
            </w:r>
          </w:p>
        </w:tc>
      </w:tr>
      <w:tr>
        <w:tc>
          <w:tcPr>
            <w:tcW w:type="dxa" w:w="1080"/>
          </w:tcPr>
          <w:p>
            <w:r>
              <w:rPr>
                <w:rFonts w:ascii="Calibri" w:hAnsi="Calibri"/>
                <w:sz w:val="22"/>
              </w:rPr>
              <w:t>Q3 2024</w:t>
            </w:r>
          </w:p>
        </w:tc>
        <w:tc>
          <w:tcPr>
            <w:tcW w:type="dxa" w:w="1080"/>
          </w:tcPr>
          <w:p>
            <w:r>
              <w:rPr>
                <w:rFonts w:ascii="Calibri" w:hAnsi="Calibri"/>
                <w:sz w:val="22"/>
              </w:rPr>
              <w:t>+1.5%</w:t>
            </w:r>
          </w:p>
        </w:tc>
        <w:tc>
          <w:tcPr>
            <w:tcW w:type="dxa" w:w="1080"/>
          </w:tcPr>
          <w:p>
            <w:r>
              <w:rPr>
                <w:rFonts w:ascii="Calibri" w:hAnsi="Calibri"/>
                <w:sz w:val="22"/>
              </w:rPr>
              <w:t>+2.8%</w:t>
            </w:r>
          </w:p>
        </w:tc>
        <w:tc>
          <w:tcPr>
            <w:tcW w:type="dxa" w:w="1080"/>
          </w:tcPr>
          <w:p>
            <w:r>
              <w:rPr>
                <w:rFonts w:ascii="Calibri" w:hAnsi="Calibri"/>
                <w:b/>
                <w:color w:val="E5484D"/>
                <w:sz w:val="22"/>
              </w:rPr>
              <w:t>-130bps</w:t>
            </w:r>
          </w:p>
        </w:tc>
        <w:tc>
          <w:tcPr>
            <w:tcW w:type="dxa" w:w="1080"/>
          </w:tcPr>
          <w:p>
            <w:r>
              <w:rPr>
                <w:rFonts w:ascii="Calibri" w:hAnsi="Calibri"/>
                <w:sz w:val="22"/>
              </w:rPr>
              <w:t>$1.229B</w:t>
            </w:r>
          </w:p>
        </w:tc>
        <w:tc>
          <w:tcPr>
            <w:tcW w:type="dxa" w:w="1080"/>
          </w:tcPr>
          <w:p>
            <w:r>
              <w:rPr>
                <w:rFonts w:ascii="Calibri" w:hAnsi="Calibri"/>
                <w:sz w:val="22"/>
              </w:rPr>
              <w:t>$1.241B</w:t>
            </w:r>
          </w:p>
        </w:tc>
        <w:tc>
          <w:tcPr>
            <w:tcW w:type="dxa" w:w="1080"/>
          </w:tcPr>
          <w:p>
            <w:r>
              <w:rPr>
                <w:rFonts w:ascii="Calibri" w:hAnsi="Calibri"/>
                <w:b/>
                <w:color w:val="E5484D"/>
                <w:sz w:val="22"/>
              </w:rPr>
              <w:t>-1.0%</w:t>
            </w:r>
          </w:p>
        </w:tc>
        <w:tc>
          <w:tcPr>
            <w:tcW w:type="dxa" w:w="1080"/>
          </w:tcPr>
          <w:p>
            <w:r>
              <w:rPr>
                <w:rFonts w:ascii="Calibri" w:hAnsi="Calibri"/>
                <w:sz w:val="22"/>
              </w:rPr>
              <w:t>Miss</w:t>
            </w:r>
          </w:p>
        </w:tc>
      </w:tr>
      <w:tr>
        <w:tc>
          <w:tcPr>
            <w:tcW w:type="dxa" w:w="1080"/>
          </w:tcPr>
          <w:p>
            <w:r>
              <w:rPr>
                <w:rFonts w:ascii="Calibri" w:hAnsi="Calibri"/>
                <w:sz w:val="22"/>
              </w:rPr>
              <w:t>Q2 2024</w:t>
            </w:r>
          </w:p>
        </w:tc>
        <w:tc>
          <w:tcPr>
            <w:tcW w:type="dxa" w:w="1080"/>
          </w:tcPr>
          <w:p>
            <w:r>
              <w:rPr>
                <w:rFonts w:ascii="Calibri" w:hAnsi="Calibri"/>
                <w:sz w:val="22"/>
              </w:rPr>
              <w:t>+2.5%</w:t>
            </w:r>
          </w:p>
        </w:tc>
        <w:tc>
          <w:tcPr>
            <w:tcW w:type="dxa" w:w="1080"/>
          </w:tcPr>
          <w:p>
            <w:r>
              <w:rPr>
                <w:rFonts w:ascii="Calibri" w:hAnsi="Calibri"/>
                <w:sz w:val="22"/>
              </w:rPr>
              <w:t>+4.0%</w:t>
            </w:r>
          </w:p>
        </w:tc>
        <w:tc>
          <w:tcPr>
            <w:tcW w:type="dxa" w:w="1080"/>
          </w:tcPr>
          <w:p>
            <w:r>
              <w:rPr>
                <w:rFonts w:ascii="Calibri" w:hAnsi="Calibri"/>
                <w:b/>
                <w:color w:val="E5484D"/>
                <w:sz w:val="22"/>
              </w:rPr>
              <w:t>-150bps</w:t>
            </w:r>
          </w:p>
        </w:tc>
        <w:tc>
          <w:tcPr>
            <w:tcW w:type="dxa" w:w="1080"/>
          </w:tcPr>
          <w:p>
            <w:r>
              <w:rPr>
                <w:rFonts w:ascii="Calibri" w:hAnsi="Calibri"/>
                <w:sz w:val="22"/>
              </w:rPr>
              <w:t>$1.324B</w:t>
            </w:r>
          </w:p>
        </w:tc>
        <w:tc>
          <w:tcPr>
            <w:tcW w:type="dxa" w:w="1080"/>
          </w:tcPr>
          <w:p>
            <w:r>
              <w:rPr>
                <w:rFonts w:ascii="Calibri" w:hAnsi="Calibri"/>
                <w:sz w:val="22"/>
              </w:rPr>
              <w:t>$1.310B</w:t>
            </w:r>
          </w:p>
        </w:tc>
        <w:tc>
          <w:tcPr>
            <w:tcW w:type="dxa" w:w="1080"/>
          </w:tcPr>
          <w:p>
            <w:r>
              <w:rPr>
                <w:rFonts w:ascii="Calibri" w:hAnsi="Calibri"/>
                <w:b/>
                <w:color w:val="30A46C"/>
                <w:sz w:val="22"/>
              </w:rPr>
              <w:t>+1.1%</w:t>
            </w:r>
          </w:p>
        </w:tc>
        <w:tc>
          <w:tcPr>
            <w:tcW w:type="dxa" w:w="1080"/>
          </w:tcPr>
          <w:p>
            <w:r>
              <w:rPr>
                <w:rFonts w:ascii="Calibri" w:hAnsi="Calibri"/>
                <w:sz w:val="22"/>
              </w:rPr>
              <w:t>Mixed</w:t>
            </w:r>
          </w:p>
        </w:tc>
      </w:tr>
    </w:tbl>
    <w:p>
      <w:r>
        <w:rPr>
          <w:rFonts w:ascii="Calibri" w:hAnsi="Calibri"/>
          <w:b/>
          <w:color w:val="525866"/>
          <w:sz w:val="22"/>
        </w:rPr>
        <w:t xml:space="preserve">Pattern: </w:t>
      </w:r>
      <w:r>
        <w:rPr>
          <w:rFonts w:ascii="Calibri" w:hAnsi="Calibri"/>
          <w:i/>
          <w:color w:val="525866"/>
          <w:sz w:val="22"/>
        </w:rPr>
        <w:t>MAR has a mixed RevPAR beat/miss track record — missing consensus in 5 of the last 8 quarters on RevPAR — but has consistently beaten on EBITDA (7 of 8 quarters), suggesting strong cost discipline and fee mix management even when RevPAR disappoints. Source: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raised at Q1 earnings (RevPAR to 2–3%, gross fees to $5.93–5.99B, EBITDA to $5.88–5.97B); </w:t>
      </w:r>
      <w:r>
        <w:rPr>
          <w:rFonts w:ascii="Calibri" w:hAnsi="Calibri"/>
          <w:b/>
          <w:color w:val="525866"/>
          <w:sz w:val="22"/>
        </w:rPr>
        <w:t>no post-earnings guidance changes</w:t>
      </w:r>
      <w:r>
        <w:rPr>
          <w:rFonts w:ascii="Calibri" w:hAnsi="Calibri"/>
          <w:color w:val="525866"/>
          <w:sz w:val="22"/>
        </w:rPr>
        <w:t>, but CFO confirmed at the June 1 Morgan Stanley conference that Q2 RevPAR is tracking in line with guidance and back-half is expected to be slightly softer than first half.</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Global RevPAR Growth</w:t>
            </w:r>
          </w:p>
        </w:tc>
        <w:tc>
          <w:tcPr>
            <w:tcW w:type="dxa" w:w="1728"/>
          </w:tcPr>
          <w:p>
            <w:r>
              <w:rPr>
                <w:rFonts w:ascii="Calibri" w:hAnsi="Calibri"/>
                <w:sz w:val="22"/>
              </w:rPr>
              <w:t>+1.5% to +2.5%</w:t>
            </w:r>
          </w:p>
        </w:tc>
        <w:tc>
          <w:tcPr>
            <w:tcW w:type="dxa" w:w="1728"/>
          </w:tcPr>
          <w:p>
            <w:r>
              <w:rPr>
                <w:rFonts w:ascii="Calibri" w:hAnsi="Calibri"/>
                <w:sz w:val="22"/>
              </w:rPr>
              <w:t>—</w:t>
            </w:r>
          </w:p>
        </w:tc>
        <w:tc>
          <w:tcPr>
            <w:tcW w:type="dxa" w:w="1728"/>
          </w:tcPr>
          <w:p>
            <w:r>
              <w:rPr>
                <w:rFonts w:ascii="Calibri" w:hAnsi="Calibri"/>
                <w:sz w:val="22"/>
              </w:rPr>
              <w:t>+2.0%</w:t>
            </w:r>
          </w:p>
        </w:tc>
        <w:tc>
          <w:tcPr>
            <w:tcW w:type="dxa" w:w="1728"/>
          </w:tcPr>
          <w:p>
            <w:r>
              <w:rPr>
                <w:rFonts w:ascii="Calibri" w:hAnsi="Calibri"/>
                <w:sz w:val="22"/>
              </w:rPr>
              <w:t>Confirmed in line at MS Conference June 1; April up just over 1%, Middle East down ~60% in April, May less severe; Q2 Middle East forecast ~-50%</w:t>
            </w:r>
          </w:p>
        </w:tc>
      </w:tr>
      <w:tr>
        <w:tc>
          <w:tcPr>
            <w:tcW w:type="dxa" w:w="1728"/>
          </w:tcPr>
          <w:p>
            <w:r>
              <w:rPr>
                <w:rFonts w:ascii="Calibri" w:hAnsi="Calibri"/>
                <w:sz w:val="22"/>
              </w:rPr>
              <w:t>FY 2026 Global RevPAR Growth</w:t>
            </w:r>
          </w:p>
        </w:tc>
        <w:tc>
          <w:tcPr>
            <w:tcW w:type="dxa" w:w="1728"/>
          </w:tcPr>
          <w:p>
            <w:r>
              <w:rPr>
                <w:rFonts w:ascii="Calibri" w:hAnsi="Calibri"/>
                <w:sz w:val="22"/>
              </w:rPr>
              <w:t>+2.0% to +3.0%</w:t>
            </w:r>
          </w:p>
        </w:tc>
        <w:tc>
          <w:tcPr>
            <w:tcW w:type="dxa" w:w="1728"/>
          </w:tcPr>
          <w:p>
            <w:r>
              <w:rPr>
                <w:rFonts w:ascii="Calibri" w:hAnsi="Calibri"/>
                <w:sz w:val="22"/>
              </w:rPr>
              <w:t>—</w:t>
            </w:r>
          </w:p>
        </w:tc>
        <w:tc>
          <w:tcPr>
            <w:tcW w:type="dxa" w:w="1728"/>
          </w:tcPr>
          <w:p>
            <w:r>
              <w:rPr>
                <w:rFonts w:ascii="Calibri" w:hAnsi="Calibri"/>
                <w:sz w:val="22"/>
              </w:rPr>
              <w:t>+2.5%</w:t>
            </w:r>
          </w:p>
        </w:tc>
        <w:tc>
          <w:tcPr>
            <w:tcW w:type="dxa" w:w="1728"/>
          </w:tcPr>
          <w:p>
            <w:r>
              <w:rPr>
                <w:rFonts w:ascii="Calibri" w:hAnsi="Calibri"/>
                <w:sz w:val="22"/>
              </w:rPr>
              <w:t>Raised from +1.5–2.5% at Q1 earnings; back half expected slightly softer than first half; World Cup adds ~30–35bps; Middle East impact ~100–125bps headwind</w:t>
            </w:r>
          </w:p>
        </w:tc>
      </w:tr>
      <w:tr>
        <w:tc>
          <w:tcPr>
            <w:tcW w:type="dxa" w:w="1728"/>
          </w:tcPr>
          <w:p>
            <w:r>
              <w:rPr>
                <w:rFonts w:ascii="Calibri" w:hAnsi="Calibri"/>
                <w:sz w:val="22"/>
              </w:rPr>
              <w:t>FY 2026 Gross Fees</w:t>
            </w:r>
          </w:p>
        </w:tc>
        <w:tc>
          <w:tcPr>
            <w:tcW w:type="dxa" w:w="1728"/>
          </w:tcPr>
          <w:p>
            <w:r>
              <w:rPr>
                <w:rFonts w:ascii="Calibri" w:hAnsi="Calibri"/>
                <w:sz w:val="22"/>
              </w:rPr>
              <w:t>$5.93B–$5.99B (+9–10%)</w:t>
            </w:r>
          </w:p>
        </w:tc>
        <w:tc>
          <w:tcPr>
            <w:tcW w:type="dxa" w:w="1728"/>
          </w:tcPr>
          <w:p>
            <w:r>
              <w:rPr>
                <w:rFonts w:ascii="Calibri" w:hAnsi="Calibri"/>
                <w:sz w:val="22"/>
              </w:rPr>
              <w:t>—</w:t>
            </w:r>
          </w:p>
        </w:tc>
        <w:tc>
          <w:tcPr>
            <w:tcW w:type="dxa" w:w="1728"/>
          </w:tcPr>
          <w:p>
            <w:r>
              <w:rPr>
                <w:rFonts w:ascii="Calibri" w:hAnsi="Calibri"/>
                <w:sz w:val="22"/>
              </w:rPr>
              <w:t>$6.00B</w:t>
            </w:r>
          </w:p>
        </w:tc>
        <w:tc>
          <w:tcPr>
            <w:tcW w:type="dxa" w:w="1728"/>
          </w:tcPr>
          <w:p>
            <w:r>
              <w:rPr>
                <w:rFonts w:ascii="Calibri" w:hAnsi="Calibri"/>
                <w:sz w:val="22"/>
              </w:rPr>
              <w:t>Raised at Q1 earnings; credit card fees +35% YoY; residential branding fees +45–50%; timeshare fees ~$110–115M</w:t>
            </w:r>
          </w:p>
        </w:tc>
      </w:tr>
      <w:tr>
        <w:tc>
          <w:tcPr>
            <w:tcW w:type="dxa" w:w="1728"/>
          </w:tcPr>
          <w:p>
            <w:r>
              <w:rPr>
                <w:rFonts w:ascii="Calibri" w:hAnsi="Calibri"/>
                <w:sz w:val="22"/>
              </w:rPr>
              <w:t>FY 2026 Adjusted EBITDA</w:t>
            </w:r>
          </w:p>
        </w:tc>
        <w:tc>
          <w:tcPr>
            <w:tcW w:type="dxa" w:w="1728"/>
          </w:tcPr>
          <w:p>
            <w:r>
              <w:rPr>
                <w:rFonts w:ascii="Calibri" w:hAnsi="Calibri"/>
                <w:sz w:val="22"/>
              </w:rPr>
              <w:t>$5.88B–$5.97B (+9–11%)</w:t>
            </w:r>
          </w:p>
        </w:tc>
        <w:tc>
          <w:tcPr>
            <w:tcW w:type="dxa" w:w="1728"/>
          </w:tcPr>
          <w:p>
            <w:r>
              <w:rPr>
                <w:rFonts w:ascii="Calibri" w:hAnsi="Calibri"/>
                <w:sz w:val="22"/>
              </w:rPr>
              <w:t>—</w:t>
            </w:r>
          </w:p>
        </w:tc>
        <w:tc>
          <w:tcPr>
            <w:tcW w:type="dxa" w:w="1728"/>
          </w:tcPr>
          <w:p>
            <w:r>
              <w:rPr>
                <w:rFonts w:ascii="Calibri" w:hAnsi="Calibri"/>
                <w:sz w:val="22"/>
              </w:rPr>
              <w:t>$5.97B</w:t>
            </w:r>
          </w:p>
        </w:tc>
        <w:tc>
          <w:tcPr>
            <w:tcW w:type="dxa" w:w="1728"/>
          </w:tcPr>
          <w:p>
            <w:r>
              <w:rPr>
                <w:rFonts w:ascii="Calibri" w:hAnsi="Calibri"/>
                <w:sz w:val="22"/>
              </w:rPr>
              <w:t>Raised at Q1 earnings; consensus at high end of range</w:t>
            </w:r>
          </w:p>
        </w:tc>
      </w:tr>
      <w:tr>
        <w:tc>
          <w:tcPr>
            <w:tcW w:type="dxa" w:w="1728"/>
          </w:tcPr>
          <w:p>
            <w:r>
              <w:rPr>
                <w:rFonts w:ascii="Calibri" w:hAnsi="Calibri"/>
                <w:sz w:val="22"/>
              </w:rPr>
              <w:t>FY 2026 Adjusted Diluted EPS</w:t>
            </w:r>
          </w:p>
        </w:tc>
        <w:tc>
          <w:tcPr>
            <w:tcW w:type="dxa" w:w="1728"/>
          </w:tcPr>
          <w:p>
            <w:r>
              <w:rPr>
                <w:rFonts w:ascii="Calibri" w:hAnsi="Calibri"/>
                <w:sz w:val="22"/>
              </w:rPr>
              <w:t>$11.38–$11.63 (+14–16%)</w:t>
            </w:r>
          </w:p>
        </w:tc>
        <w:tc>
          <w:tcPr>
            <w:tcW w:type="dxa" w:w="1728"/>
          </w:tcPr>
          <w:p>
            <w:r>
              <w:rPr>
                <w:rFonts w:ascii="Calibri" w:hAnsi="Calibri"/>
                <w:sz w:val="22"/>
              </w:rPr>
              <w:t>—</w:t>
            </w:r>
          </w:p>
        </w:tc>
        <w:tc>
          <w:tcPr>
            <w:tcW w:type="dxa" w:w="1728"/>
          </w:tcPr>
          <w:p>
            <w:r>
              <w:rPr>
                <w:rFonts w:ascii="Calibri" w:hAnsi="Calibri"/>
                <w:sz w:val="22"/>
              </w:rPr>
              <w:t>$11.66</w:t>
            </w:r>
          </w:p>
        </w:tc>
        <w:tc>
          <w:tcPr>
            <w:tcW w:type="dxa" w:w="1728"/>
          </w:tcPr>
          <w:p>
            <w:r>
              <w:rPr>
                <w:rFonts w:ascii="Calibri" w:hAnsi="Calibri"/>
                <w:sz w:val="22"/>
              </w:rPr>
              <w:t>Raised at Q1 earnings; consensus slightly above high end of guidance range</w:t>
            </w:r>
          </w:p>
        </w:tc>
      </w:tr>
      <w:tr>
        <w:tc>
          <w:tcPr>
            <w:tcW w:type="dxa" w:w="1728"/>
          </w:tcPr>
          <w:p>
            <w:r>
              <w:rPr>
                <w:rFonts w:ascii="Calibri" w:hAnsi="Calibri"/>
                <w:sz w:val="22"/>
              </w:rPr>
              <w:t>FY 2026 Net Rooms Growth</w:t>
            </w:r>
          </w:p>
        </w:tc>
        <w:tc>
          <w:tcPr>
            <w:tcW w:type="dxa" w:w="1728"/>
          </w:tcPr>
          <w:p>
            <w:r>
              <w:rPr>
                <w:rFonts w:ascii="Calibri" w:hAnsi="Calibri"/>
                <w:sz w:val="22"/>
              </w:rPr>
              <w:t>+4.5% to +5.0%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pipeline at record 618,000 rooms; 43% under construction; conversions &gt;35% of signings</w:t>
            </w:r>
          </w:p>
        </w:tc>
      </w:tr>
      <w:tr>
        <w:tc>
          <w:tcPr>
            <w:tcW w:type="dxa" w:w="1728"/>
          </w:tcPr>
          <w:p>
            <w:r>
              <w:rPr>
                <w:rFonts w:ascii="Calibri" w:hAnsi="Calibri"/>
                <w:sz w:val="22"/>
              </w:rPr>
              <w:t>FY 2026 Capital Returns</w:t>
            </w:r>
          </w:p>
        </w:tc>
        <w:tc>
          <w:tcPr>
            <w:tcW w:type="dxa" w:w="1728"/>
          </w:tcPr>
          <w:p>
            <w:r>
              <w:rPr>
                <w:rFonts w:ascii="Calibri" w:hAnsi="Calibri"/>
                <w:sz w:val="22"/>
              </w:rPr>
              <w:t>&gt;$4.4B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at Q1 earnings; includes buybacks and dividends</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moved up modestly since Q1 earnings (EBITDA +0.6%, EPS +0.9%), tracking with the raised guidance; </w:t>
      </w:r>
      <w:r>
        <w:rPr>
          <w:rFonts w:ascii="Calibri" w:hAnsi="Calibri"/>
          <w:b/>
          <w:color w:val="525866"/>
          <w:sz w:val="22"/>
        </w:rPr>
        <w:t>FY 2026 consensus is now at or slightly above the high end of management's EBITDA and EPS guidance ranges</w:t>
      </w:r>
      <w:r>
        <w:rPr>
          <w:rFonts w:ascii="Calibri" w:hAnsi="Calibri"/>
          <w:color w:val="525866"/>
          <w:sz w:val="22"/>
        </w:rPr>
        <w:t xml:space="preserve"> — leaving limited room for further upside unless RevPAR or credit card fees surprise positively.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as of May 11, 2026 (5 days post Q1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Gross Fees — Q2 2026</w:t>
            </w:r>
          </w:p>
        </w:tc>
        <w:tc>
          <w:tcPr>
            <w:tcW w:type="dxa" w:w="1080"/>
          </w:tcPr>
          <w:p>
            <w:r>
              <w:rPr>
                <w:rFonts w:ascii="Calibri" w:hAnsi="Calibri"/>
                <w:sz w:val="22"/>
              </w:rPr>
              <w:t>$1.551B</w:t>
            </w:r>
          </w:p>
        </w:tc>
        <w:tc>
          <w:tcPr>
            <w:tcW w:type="dxa" w:w="1080"/>
          </w:tcPr>
          <w:p>
            <w:r>
              <w:rPr>
                <w:rFonts w:ascii="Calibri" w:hAnsi="Calibri"/>
                <w:sz w:val="22"/>
              </w:rPr>
              <w:t>$1.555B</w:t>
            </w:r>
          </w:p>
        </w:tc>
        <w:tc>
          <w:tcPr>
            <w:tcW w:type="dxa" w:w="1080"/>
          </w:tcPr>
          <w:p>
            <w:r>
              <w:rPr>
                <w:rFonts w:ascii="Calibri" w:hAnsi="Calibri"/>
                <w:sz w:val="22"/>
              </w:rPr>
              <w:t>+0.3%</w:t>
            </w:r>
          </w:p>
        </w:tc>
        <w:tc>
          <w:tcPr>
            <w:tcW w:type="dxa" w:w="1080"/>
          </w:tcPr>
          <w:p>
            <w:r>
              <w:rPr>
                <w:rFonts w:ascii="Calibri" w:hAnsi="Calibri"/>
                <w:sz w:val="22"/>
              </w:rPr>
              <w:t>Up 10–11%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w:t>
            </w:r>
          </w:p>
        </w:tc>
      </w:tr>
      <w:tr>
        <w:tc>
          <w:tcPr>
            <w:tcW w:type="dxa" w:w="1080"/>
          </w:tcPr>
          <w:p>
            <w:r>
              <w:rPr>
                <w:rFonts w:ascii="Calibri" w:hAnsi="Calibri"/>
                <w:sz w:val="22"/>
              </w:rPr>
              <w:t>Adjusted EBITDA — Q2 2026</w:t>
            </w:r>
          </w:p>
        </w:tc>
        <w:tc>
          <w:tcPr>
            <w:tcW w:type="dxa" w:w="1080"/>
          </w:tcPr>
          <w:p>
            <w:r>
              <w:rPr>
                <w:rFonts w:ascii="Calibri" w:hAnsi="Calibri"/>
                <w:sz w:val="22"/>
              </w:rPr>
              <w:t>$1.541B</w:t>
            </w:r>
          </w:p>
        </w:tc>
        <w:tc>
          <w:tcPr>
            <w:tcW w:type="dxa" w:w="1080"/>
          </w:tcPr>
          <w:p>
            <w:r>
              <w:rPr>
                <w:rFonts w:ascii="Calibri" w:hAnsi="Calibri"/>
                <w:sz w:val="22"/>
              </w:rPr>
              <w:t>$1.551B</w:t>
            </w:r>
          </w:p>
        </w:tc>
        <w:tc>
          <w:tcPr>
            <w:tcW w:type="dxa" w:w="1080"/>
          </w:tcPr>
          <w:p>
            <w:r>
              <w:rPr>
                <w:rFonts w:ascii="Calibri" w:hAnsi="Calibri"/>
                <w:sz w:val="22"/>
              </w:rPr>
              <w:t>+0.6%</w:t>
            </w:r>
          </w:p>
        </w:tc>
        <w:tc>
          <w:tcPr>
            <w:tcW w:type="dxa" w:w="1080"/>
          </w:tcPr>
          <w:p>
            <w:r>
              <w:rPr>
                <w:rFonts w:ascii="Calibri" w:hAnsi="Calibri"/>
                <w:sz w:val="22"/>
              </w:rPr>
              <w:t>Up 8–10%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w:t>
            </w:r>
          </w:p>
        </w:tc>
      </w:tr>
      <w:tr>
        <w:tc>
          <w:tcPr>
            <w:tcW w:type="dxa" w:w="1080"/>
          </w:tcPr>
          <w:p>
            <w:r>
              <w:rPr>
                <w:rFonts w:ascii="Calibri" w:hAnsi="Calibri"/>
                <w:sz w:val="22"/>
              </w:rPr>
              <w:t>EPS (Diluted Operating) — Q2 2026</w:t>
            </w:r>
          </w:p>
        </w:tc>
        <w:tc>
          <w:tcPr>
            <w:tcW w:type="dxa" w:w="1080"/>
          </w:tcPr>
          <w:p>
            <w:r>
              <w:rPr>
                <w:rFonts w:ascii="Calibri" w:hAnsi="Calibri"/>
                <w:sz w:val="22"/>
              </w:rPr>
              <w:t>$3.06</w:t>
            </w:r>
          </w:p>
        </w:tc>
        <w:tc>
          <w:tcPr>
            <w:tcW w:type="dxa" w:w="1080"/>
          </w:tcPr>
          <w:p>
            <w:r>
              <w:rPr>
                <w:rFonts w:ascii="Calibri" w:hAnsi="Calibri"/>
                <w:sz w:val="22"/>
              </w:rPr>
              <w:t>$3.09</w:t>
            </w:r>
          </w:p>
        </w:tc>
        <w:tc>
          <w:tcPr>
            <w:tcW w:type="dxa" w:w="1080"/>
          </w:tcPr>
          <w:p>
            <w:r>
              <w:rPr>
                <w:rFonts w:ascii="Calibri" w:hAnsi="Calibri"/>
                <w:sz w:val="22"/>
              </w:rPr>
              <w:t>+0.9%</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Fees — FY 2026</w:t>
            </w:r>
          </w:p>
        </w:tc>
        <w:tc>
          <w:tcPr>
            <w:tcW w:type="dxa" w:w="1080"/>
          </w:tcPr>
          <w:p>
            <w:r>
              <w:rPr>
                <w:rFonts w:ascii="Calibri" w:hAnsi="Calibri"/>
                <w:sz w:val="22"/>
              </w:rPr>
              <w:t>$5.988B</w:t>
            </w:r>
          </w:p>
        </w:tc>
        <w:tc>
          <w:tcPr>
            <w:tcW w:type="dxa" w:w="1080"/>
          </w:tcPr>
          <w:p>
            <w:r>
              <w:rPr>
                <w:rFonts w:ascii="Calibri" w:hAnsi="Calibri"/>
                <w:sz w:val="22"/>
              </w:rPr>
              <w:t>$6.000B</w:t>
            </w:r>
          </w:p>
        </w:tc>
        <w:tc>
          <w:tcPr>
            <w:tcW w:type="dxa" w:w="1080"/>
          </w:tcPr>
          <w:p>
            <w:r>
              <w:rPr>
                <w:rFonts w:ascii="Calibri" w:hAnsi="Calibri"/>
                <w:sz w:val="22"/>
              </w:rPr>
              <w:t>+0.2%</w:t>
            </w:r>
          </w:p>
        </w:tc>
        <w:tc>
          <w:tcPr>
            <w:tcW w:type="dxa" w:w="1080"/>
          </w:tcPr>
          <w:p>
            <w:r>
              <w:rPr>
                <w:rFonts w:ascii="Calibri" w:hAnsi="Calibri"/>
                <w:sz w:val="22"/>
              </w:rPr>
              <w:t>$5.93B–$5.99B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above high end</w:t>
            </w:r>
          </w:p>
        </w:tc>
      </w:tr>
      <w:tr>
        <w:tc>
          <w:tcPr>
            <w:tcW w:type="dxa" w:w="1080"/>
          </w:tcPr>
          <w:p>
            <w:r>
              <w:rPr>
                <w:rFonts w:ascii="Calibri" w:hAnsi="Calibri"/>
                <w:sz w:val="22"/>
              </w:rPr>
              <w:t>Adjusted EBITDA — FY 2026</w:t>
            </w:r>
          </w:p>
        </w:tc>
        <w:tc>
          <w:tcPr>
            <w:tcW w:type="dxa" w:w="1080"/>
          </w:tcPr>
          <w:p>
            <w:r>
              <w:rPr>
                <w:rFonts w:ascii="Calibri" w:hAnsi="Calibri"/>
                <w:sz w:val="22"/>
              </w:rPr>
              <w:t>$5.954B</w:t>
            </w:r>
          </w:p>
        </w:tc>
        <w:tc>
          <w:tcPr>
            <w:tcW w:type="dxa" w:w="1080"/>
          </w:tcPr>
          <w:p>
            <w:r>
              <w:rPr>
                <w:rFonts w:ascii="Calibri" w:hAnsi="Calibri"/>
                <w:sz w:val="22"/>
              </w:rPr>
              <w:t>$5.970B</w:t>
            </w:r>
          </w:p>
        </w:tc>
        <w:tc>
          <w:tcPr>
            <w:tcW w:type="dxa" w:w="1080"/>
          </w:tcPr>
          <w:p>
            <w:r>
              <w:rPr>
                <w:rFonts w:ascii="Calibri" w:hAnsi="Calibri"/>
                <w:sz w:val="22"/>
              </w:rPr>
              <w:t>+0.3%</w:t>
            </w:r>
          </w:p>
        </w:tc>
        <w:tc>
          <w:tcPr>
            <w:tcW w:type="dxa" w:w="1080"/>
          </w:tcPr>
          <w:p>
            <w:r>
              <w:rPr>
                <w:rFonts w:ascii="Calibri" w:hAnsi="Calibri"/>
                <w:sz w:val="22"/>
              </w:rPr>
              <w:t>$5.88B–$5.97B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high end</w:t>
            </w:r>
          </w:p>
        </w:tc>
      </w:tr>
      <w:tr>
        <w:tc>
          <w:tcPr>
            <w:tcW w:type="dxa" w:w="1080"/>
          </w:tcPr>
          <w:p>
            <w:r>
              <w:rPr>
                <w:rFonts w:ascii="Calibri" w:hAnsi="Calibri"/>
                <w:sz w:val="22"/>
              </w:rPr>
              <w:t>EPS (Diluted Operating) — FY 2026</w:t>
            </w:r>
          </w:p>
        </w:tc>
        <w:tc>
          <w:tcPr>
            <w:tcW w:type="dxa" w:w="1080"/>
          </w:tcPr>
          <w:p>
            <w:r>
              <w:rPr>
                <w:rFonts w:ascii="Calibri" w:hAnsi="Calibri"/>
                <w:sz w:val="22"/>
              </w:rPr>
              <w:t>$11.585</w:t>
            </w:r>
          </w:p>
        </w:tc>
        <w:tc>
          <w:tcPr>
            <w:tcW w:type="dxa" w:w="1080"/>
          </w:tcPr>
          <w:p>
            <w:r>
              <w:rPr>
                <w:rFonts w:ascii="Calibri" w:hAnsi="Calibri"/>
                <w:sz w:val="22"/>
              </w:rPr>
              <w:t>$11.663</w:t>
            </w:r>
          </w:p>
        </w:tc>
        <w:tc>
          <w:tcPr>
            <w:tcW w:type="dxa" w:w="1080"/>
          </w:tcPr>
          <w:p>
            <w:r>
              <w:rPr>
                <w:rFonts w:ascii="Calibri" w:hAnsi="Calibri"/>
                <w:sz w:val="22"/>
              </w:rPr>
              <w:t>+0.7%</w:t>
            </w:r>
          </w:p>
        </w:tc>
        <w:tc>
          <w:tcPr>
            <w:tcW w:type="dxa" w:w="1080"/>
          </w:tcPr>
          <w:p>
            <w:r>
              <w:rPr>
                <w:rFonts w:ascii="Calibri" w:hAnsi="Calibri"/>
                <w:sz w:val="22"/>
              </w:rPr>
              <w:t>$11.38–$11.63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Slightly above high end</w:t>
            </w:r>
          </w:p>
        </w:tc>
      </w:tr>
    </w:tbl>
    <w:p>
      <w:r>
        <w:rPr>
          <w:rFonts w:ascii="Calibri" w:hAnsi="Calibri"/>
          <w:i/>
          <w:color w:val="525866"/>
          <w:sz w:val="22"/>
        </w:rPr>
        <w:t xml:space="preserve">Source: Visible Alpha. Baseline as of May 11, 2026 (5 trading days post Q1 2026 earnings). </w:t>
      </w:r>
      <w:r>
        <w:rPr>
          <w:rFonts w:ascii="Calibri" w:hAnsi="Calibri"/>
          <w:i/>
          <w:color w:val="525866"/>
          <w:sz w:val="22"/>
        </w:rPr>
        <w:t>Estimates have drifted modestly higher since Q1 earnings, consistent with the raised guidance and peer read-through. The fact that consensus is now at or slightly above the high end of management's guidance ranges on EBITDA and EPS means the bar is not low — a beat will require either RevPAR outperformance or better-than-expected credit card/non-RevPAR fee performance.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MAR has </w:t>
      </w:r>
      <w:r>
        <w:rPr>
          <w:rFonts w:ascii="Calibri" w:hAnsi="Calibri"/>
          <w:b/>
          <w:color w:val="525866"/>
          <w:sz w:val="22"/>
        </w:rPr>
        <w:t>underperformed the leisure/hospitality sector (PEJ) since Q1 earnings (+3.8% vs +8.6%)</w:t>
      </w:r>
      <w:r>
        <w:rPr>
          <w:rFonts w:ascii="Calibri" w:hAnsi="Calibri"/>
          <w:color w:val="525866"/>
          <w:sz w:val="22"/>
        </w:rPr>
        <w:t>, despite beating on Q1 results — suggesting the market is pricing in Middle East uncertainty and back-half RevPAR deceleration, which could create a positive setup if Q2 results confirm the peer read-through.</w:t>
      </w:r>
    </w:p>
    <w:p>
      <w:r>
        <w:rPr>
          <w:rFonts w:ascii="Calibri" w:hAnsi="Calibri"/>
          <w:b/>
          <w:color w:val="525866"/>
          <w:sz w:val="22"/>
        </w:rPr>
        <w:t xml:space="preserve">Sector ETF: </w:t>
      </w:r>
      <w:r>
        <w:rPr>
          <w:rFonts w:ascii="Calibri" w:hAnsi="Calibri"/>
          <w:color w:val="525866"/>
          <w:sz w:val="22"/>
        </w:rPr>
        <w:t>PEJ (Invesco Dynamic Leisure &amp; Entertainment ETF) — appropriate for MAR's lodging/hospitality sub-sector. Events marked: Q1 2026 Earnings (May 6, 2026) and Morgan Stanley Travel &amp; Leisure Conference (June 1, 2026).</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MAR vs PEJ (Leisure/Hospitality ETF) vs S&amp;P 500 — Indexed to 100 at Q1 2026 Earnings Date (May 6, 2026). Source: Yahoo Finance.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Security</w:t>
            </w:r>
          </w:p>
        </w:tc>
        <w:tc>
          <w:tcPr>
            <w:tcW w:type="dxa" w:w="2160"/>
            <w:shd w:val="clear" w:color="auto" w:fill="3B4259"/>
          </w:tcPr>
          <w:p>
            <w:r>
              <w:rPr>
                <w:rFonts w:ascii="Calibri" w:hAnsi="Calibri"/>
                <w:b/>
                <w:color w:val="FFFFFF"/>
                <w:sz w:val="22"/>
              </w:rPr>
              <w:t>Price at Q1 Earnings (May 6 Close)</w:t>
            </w:r>
          </w:p>
        </w:tc>
        <w:tc>
          <w:tcPr>
            <w:tcW w:type="dxa" w:w="2160"/>
            <w:shd w:val="clear" w:color="auto" w:fill="3B4259"/>
          </w:tcPr>
          <w:p>
            <w:r>
              <w:rPr>
                <w:rFonts w:ascii="Calibri" w:hAnsi="Calibri"/>
                <w:b/>
                <w:color w:val="FFFFFF"/>
                <w:sz w:val="22"/>
              </w:rPr>
              <w:t>Latest Price (Aug 1, 2026)</w:t>
            </w:r>
          </w:p>
        </w:tc>
        <w:tc>
          <w:tcPr>
            <w:tcW w:type="dxa" w:w="2160"/>
            <w:shd w:val="clear" w:color="auto" w:fill="3B4259"/>
          </w:tcPr>
          <w:p>
            <w:r>
              <w:rPr>
                <w:rFonts w:ascii="Calibri" w:hAnsi="Calibri"/>
                <w:b/>
                <w:color w:val="FFFFFF"/>
                <w:sz w:val="22"/>
              </w:rPr>
              <w:t>Return Since Earnings</w:t>
            </w:r>
          </w:p>
        </w:tc>
      </w:tr>
      <w:tr>
        <w:tc>
          <w:tcPr>
            <w:tcW w:type="dxa" w:w="2160"/>
          </w:tcPr>
          <w:p>
            <w:r>
              <w:rPr>
                <w:rFonts w:ascii="Calibri" w:hAnsi="Calibri"/>
                <w:sz w:val="22"/>
              </w:rPr>
              <w:t>MAR</w:t>
            </w:r>
          </w:p>
        </w:tc>
        <w:tc>
          <w:tcPr>
            <w:tcW w:type="dxa" w:w="2160"/>
          </w:tcPr>
          <w:p>
            <w:r>
              <w:rPr>
                <w:rFonts w:ascii="Calibri" w:hAnsi="Calibri"/>
                <w:sz w:val="22"/>
              </w:rPr>
              <w:t>$359.06</w:t>
            </w:r>
          </w:p>
        </w:tc>
        <w:tc>
          <w:tcPr>
            <w:tcW w:type="dxa" w:w="2160"/>
          </w:tcPr>
          <w:p>
            <w:r>
              <w:rPr>
                <w:rFonts w:ascii="Calibri" w:hAnsi="Calibri"/>
                <w:sz w:val="22"/>
              </w:rPr>
              <w:t>$372.83</w:t>
            </w:r>
          </w:p>
        </w:tc>
        <w:tc>
          <w:tcPr>
            <w:tcW w:type="dxa" w:w="2160"/>
          </w:tcPr>
          <w:p>
            <w:r>
              <w:rPr>
                <w:rFonts w:ascii="Calibri" w:hAnsi="Calibri"/>
                <w:sz w:val="22"/>
              </w:rPr>
              <w:t>+3.8%</w:t>
            </w:r>
          </w:p>
        </w:tc>
      </w:tr>
      <w:tr>
        <w:tc>
          <w:tcPr>
            <w:tcW w:type="dxa" w:w="2160"/>
          </w:tcPr>
          <w:p>
            <w:r>
              <w:rPr>
                <w:rFonts w:ascii="Calibri" w:hAnsi="Calibri"/>
                <w:sz w:val="22"/>
              </w:rPr>
              <w:t>PEJ (Leisure/Hospitality ETF)</w:t>
            </w:r>
          </w:p>
        </w:tc>
        <w:tc>
          <w:tcPr>
            <w:tcW w:type="dxa" w:w="2160"/>
          </w:tcPr>
          <w:p>
            <w:r>
              <w:rPr>
                <w:rFonts w:ascii="Calibri" w:hAnsi="Calibri"/>
                <w:sz w:val="22"/>
              </w:rPr>
              <w:t>$61.60</w:t>
            </w:r>
          </w:p>
        </w:tc>
        <w:tc>
          <w:tcPr>
            <w:tcW w:type="dxa" w:w="2160"/>
          </w:tcPr>
          <w:p>
            <w:r>
              <w:rPr>
                <w:rFonts w:ascii="Calibri" w:hAnsi="Calibri"/>
                <w:sz w:val="22"/>
              </w:rPr>
              <w:t>$66.89</w:t>
            </w:r>
          </w:p>
        </w:tc>
        <w:tc>
          <w:tcPr>
            <w:tcW w:type="dxa" w:w="2160"/>
          </w:tcPr>
          <w:p>
            <w:r>
              <w:rPr>
                <w:rFonts w:ascii="Calibri" w:hAnsi="Calibri"/>
                <w:b/>
                <w:color w:val="30A46C"/>
                <w:sz w:val="22"/>
              </w:rPr>
              <w:t>+8.6%</w:t>
            </w:r>
          </w:p>
        </w:tc>
      </w:tr>
      <w:tr>
        <w:tc>
          <w:tcPr>
            <w:tcW w:type="dxa" w:w="2160"/>
          </w:tcPr>
          <w:p>
            <w:r>
              <w:rPr>
                <w:rFonts w:ascii="Calibri" w:hAnsi="Calibri"/>
                <w:sz w:val="22"/>
              </w:rPr>
              <w:t>S&amp;P 500 (SPY)</w:t>
            </w:r>
          </w:p>
        </w:tc>
        <w:tc>
          <w:tcPr>
            <w:tcW w:type="dxa" w:w="2160"/>
          </w:tcPr>
          <w:p>
            <w:r>
              <w:rPr>
                <w:rFonts w:ascii="Calibri" w:hAnsi="Calibri"/>
                <w:sz w:val="22"/>
              </w:rPr>
              <w:t>$733.83</w:t>
            </w:r>
          </w:p>
        </w:tc>
        <w:tc>
          <w:tcPr>
            <w:tcW w:type="dxa" w:w="2160"/>
          </w:tcPr>
          <w:p>
            <w:r>
              <w:rPr>
                <w:rFonts w:ascii="Calibri" w:hAnsi="Calibri"/>
                <w:sz w:val="22"/>
              </w:rPr>
              <w:t>$747.07</w:t>
            </w:r>
          </w:p>
        </w:tc>
        <w:tc>
          <w:tcPr>
            <w:tcW w:type="dxa" w:w="2160"/>
          </w:tcPr>
          <w:p>
            <w:r>
              <w:rPr>
                <w:rFonts w:ascii="Calibri" w:hAnsi="Calibri"/>
                <w:sz w:val="22"/>
              </w:rPr>
              <w:t>+1.8%</w:t>
            </w:r>
          </w:p>
        </w:tc>
      </w:tr>
    </w:tbl>
    <w:p>
      <w:r>
        <w:rPr>
          <w:rFonts w:ascii="Calibri" w:hAnsi="Calibri"/>
          <w:color w:val="525866"/>
          <w:sz w:val="22"/>
        </w:rPr>
        <w:t>MAR rallied sharply through mid-June (peaking near +12% indexed) as World Cup tailwinds and strong peer prints from HLT and H boosted sentiment, but has since given back gains and now trades roughly in line with the S&amp;P 500 since earnings. The underperformance vs. PEJ is notable — the sector has re-rated higher on the back of strong Q2 peer prints, but MAR has lagged, likely reflecting Middle East exposure uncertainty and back-half RevPAR deceleration concerns. Source: Yahoo Finance / Stock Price Data.</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Peers HLT and H both reported Q2 2026 system-wide RevPAR well above MAR's guided range, with broad-based demand strength across luxury, group, and business transient — a </w:t>
      </w:r>
      <w:r>
        <w:rPr>
          <w:rFonts w:ascii="Calibri" w:hAnsi="Calibri"/>
          <w:b/>
          <w:color w:val="525866"/>
          <w:sz w:val="22"/>
        </w:rPr>
        <w:t>strong positive read-through for MAR's Q2 print</w:t>
      </w:r>
      <w:r>
        <w:rPr>
          <w:rFonts w:ascii="Calibri" w:hAnsi="Calibri"/>
          <w:color w:val="525866"/>
          <w:sz w:val="22"/>
        </w:rPr>
        <w:t>. The Middle East drag is a known headwind, but peers suggest it is tracking in line with or better than feared.</w:t>
      </w:r>
    </w:p>
    <w:p>
      <w:pPr>
        <w:pStyle w:val="Heading3"/>
      </w:pPr>
      <w:r>
        <w:rPr>
          <w:rFonts w:ascii="Calibri" w:hAnsi="Calibri"/>
          <w:b/>
          <w:color w:val="3B4259"/>
          <w:sz w:val="24"/>
        </w:rPr>
        <w:t>Hilton (HLT) — Q2 2026 Earnings (Reported July 28, 2026)</w:t>
      </w:r>
    </w:p>
    <w:p>
      <w:pPr>
        <w:pStyle w:val="ListBullet"/>
        <w:ind w:left="360" w:hanging="360"/>
      </w:pPr>
      <w:r>
        <w:rPr>
          <w:rFonts w:ascii="Calibri" w:hAnsi="Calibri"/>
          <w:b/>
          <w:color w:val="525866"/>
          <w:sz w:val="22"/>
        </w:rPr>
        <w:t>System-wide RevPAR grew +3.9% YoY in Q2 2026</w:t>
      </w:r>
      <w:r>
        <w:rPr>
          <w:rFonts w:ascii="Calibri" w:hAnsi="Calibri"/>
          <w:color w:val="525866"/>
          <w:sz w:val="22"/>
        </w:rPr>
        <w:t>, a 3-point step-up globally and 4-point step-up in the US vs. Q1 — well above MAR's guided 1.5–2.5%. US comparable RevPAR was up 5.4%, driven by strong demand across all segments.</w:t>
      </w:r>
    </w:p>
    <w:p>
      <w:pPr>
        <w:pStyle w:val="ListBullet"/>
        <w:ind w:left="360" w:hanging="360"/>
      </w:pPr>
      <w:r>
        <w:rPr>
          <w:rFonts w:ascii="Calibri" w:hAnsi="Calibri"/>
          <w:b/>
          <w:color w:val="525866"/>
          <w:sz w:val="22"/>
        </w:rPr>
        <w:t>Business transient exceeded expectations</w:t>
      </w:r>
      <w:r>
        <w:rPr>
          <w:rFonts w:ascii="Calibri" w:hAnsi="Calibri"/>
          <w:color w:val="525866"/>
          <w:sz w:val="22"/>
        </w:rPr>
        <w:t>, with SMB growth of ~7%+ and large corporate growth of ~4.5–5%. HLT expects business transient to lead recovery into Q3. Midweek demand from small and medium-sized businesses was the biggest single change observed over the last couple of quarters.</w:t>
      </w:r>
    </w:p>
    <w:p>
      <w:pPr>
        <w:pStyle w:val="ListBullet"/>
        <w:ind w:left="360" w:hanging="360"/>
      </w:pPr>
      <w:r>
        <w:rPr>
          <w:rFonts w:ascii="Calibri" w:hAnsi="Calibri"/>
          <w:b/>
          <w:color w:val="525866"/>
          <w:sz w:val="22"/>
        </w:rPr>
        <w:t>Leisure transient RevPAR was up 1.6%</w:t>
      </w:r>
      <w:r>
        <w:rPr>
          <w:rFonts w:ascii="Calibri" w:hAnsi="Calibri"/>
          <w:color w:val="525866"/>
          <w:sz w:val="22"/>
        </w:rPr>
        <w:t>, supported by World Cup demand but offset by unfavorable holiday shifts and Middle East pressure. Leisure was strong, coming in third behind business transient and group.</w:t>
      </w:r>
    </w:p>
    <w:p>
      <w:pPr>
        <w:pStyle w:val="ListBullet"/>
        <w:ind w:left="360" w:hanging="360"/>
      </w:pPr>
      <w:r>
        <w:rPr>
          <w:rFonts w:ascii="Calibri" w:hAnsi="Calibri"/>
          <w:b/>
          <w:color w:val="525866"/>
          <w:sz w:val="22"/>
        </w:rPr>
        <w:t>FIFA World Cup contributed ~1.5–1.7% to US RevPAR in Q2</w:t>
      </w:r>
      <w:r>
        <w:rPr>
          <w:rFonts w:ascii="Calibri" w:hAnsi="Calibri"/>
          <w:color w:val="525866"/>
          <w:sz w:val="22"/>
        </w:rPr>
        <w:t>, with host cities delivering double-digit growth in June. World Cup expected to benefit Q3 as well, contributing to Q3 RevPAR being above the full-year range.</w:t>
      </w:r>
    </w:p>
    <w:p>
      <w:pPr>
        <w:pStyle w:val="ListBullet"/>
        <w:ind w:left="360" w:hanging="360"/>
      </w:pPr>
      <w:r>
        <w:rPr>
          <w:rFonts w:ascii="Calibri" w:hAnsi="Calibri"/>
          <w:b/>
          <w:color w:val="525866"/>
          <w:sz w:val="22"/>
        </w:rPr>
        <w:t>Middle East RevPAR declined ~30% YoY in Q2</w:t>
      </w:r>
      <w:r>
        <w:rPr>
          <w:rFonts w:ascii="Calibri" w:hAnsi="Calibri"/>
          <w:color w:val="525866"/>
          <w:sz w:val="22"/>
        </w:rPr>
        <w:t>, better than prior expectations. Full-year Middle East &amp; Africa now expected down high single to low double digits. Middle East costing HLT ~0.5 points of overall growth this year.</w:t>
      </w:r>
    </w:p>
    <w:p>
      <w:pPr>
        <w:pStyle w:val="ListBullet"/>
        <w:ind w:left="360" w:hanging="360"/>
      </w:pPr>
      <w:r>
        <w:rPr>
          <w:rFonts w:ascii="Calibri" w:hAnsi="Calibri"/>
          <w:b/>
          <w:color w:val="525866"/>
          <w:sz w:val="22"/>
        </w:rPr>
        <w:t>Full-year system-wide RevPAR guidance raised to 3.0–3.5%</w:t>
      </w:r>
      <w:r>
        <w:rPr>
          <w:rFonts w:ascii="Calibri" w:hAnsi="Calibri"/>
          <w:color w:val="525866"/>
          <w:sz w:val="22"/>
        </w:rPr>
        <w:t xml:space="preserve"> (from prior range). Q3 2026 RevPAR expected ~4%, above full-year range, benefiting from World Cup and holiday shifts; Q4 expected a bit below due to calendar shifts and midterm elections.</w:t>
      </w:r>
    </w:p>
    <w:p>
      <w:pPr>
        <w:pStyle w:val="ListBullet"/>
        <w:ind w:left="360" w:hanging="360"/>
      </w:pPr>
      <w:r>
        <w:rPr>
          <w:rFonts w:ascii="Calibri" w:hAnsi="Calibri"/>
          <w:b/>
          <w:color w:val="525866"/>
          <w:sz w:val="22"/>
        </w:rPr>
        <w:t>Adjusted EBITDA of $1.054B in Q2, up 4.6% YoY</w:t>
      </w:r>
      <w:r>
        <w:rPr>
          <w:rFonts w:ascii="Calibri" w:hAnsi="Calibri"/>
          <w:color w:val="525866"/>
          <w:sz w:val="22"/>
        </w:rPr>
        <w:t>, exceeding the high end of guidance. Management franchise fees grew 6.4% YoY. Net units grew 6.1%.</w:t>
      </w:r>
    </w:p>
    <w:p>
      <w:pPr>
        <w:pStyle w:val="ListBullet"/>
        <w:ind w:left="360" w:hanging="360"/>
      </w:pPr>
      <w:r>
        <w:rPr>
          <w:rFonts w:ascii="Calibri" w:hAnsi="Calibri"/>
          <w:b/>
          <w:color w:val="525866"/>
          <w:sz w:val="22"/>
        </w:rPr>
        <w:t xml:space="preserve">Read-through for MAR: </w:t>
      </w:r>
      <w:r>
        <w:rPr>
          <w:rFonts w:ascii="Calibri" w:hAnsi="Calibri"/>
          <w:i/>
          <w:color w:val="525866"/>
          <w:sz w:val="22"/>
        </w:rPr>
        <w:t>Strongly positive. HLT's broad-based demand strength, SMB recovery, and World Cup tailwind all apply to MAR's portfolio. HLT's Middle East drag (-30%) was better than feared, suggesting MAR's -50% Q2 Middle East guidance may prove conservative. HLT's confidence in a 'broad-based momentum and strengthening of demand trends for the remainder of the year and into 2027' is a positive signal for MAR's back-half outlook.</w:t>
      </w:r>
    </w:p>
    <w:p>
      <w:pPr>
        <w:pStyle w:val="Heading3"/>
      </w:pPr>
      <w:r>
        <w:rPr>
          <w:rFonts w:ascii="Calibri" w:hAnsi="Calibri"/>
          <w:b/>
          <w:color w:val="3B4259"/>
          <w:sz w:val="24"/>
        </w:rPr>
        <w:t>Hyatt (H) — Q2 2026 Earnings (Reported July 30, 2026)</w:t>
      </w:r>
    </w:p>
    <w:p>
      <w:pPr>
        <w:pStyle w:val="ListBullet"/>
        <w:ind w:left="360" w:hanging="360"/>
      </w:pPr>
      <w:r>
        <w:rPr>
          <w:rFonts w:ascii="Calibri" w:hAnsi="Calibri"/>
          <w:b/>
          <w:color w:val="525866"/>
          <w:sz w:val="22"/>
        </w:rPr>
        <w:t>System-wide RevPAR grew +5.9% YoY in Q2 2026</w:t>
      </w:r>
      <w:r>
        <w:rPr>
          <w:rFonts w:ascii="Calibri" w:hAnsi="Calibri"/>
          <w:color w:val="525866"/>
          <w:sz w:val="22"/>
        </w:rPr>
        <w:t>, exceeding expectations. US RevPAR exceeded expectations; most international markets showed strong growth. RevPAR increased 6.7% overall, driven by robust leisure travel and healthy group demand.</w:t>
      </w:r>
    </w:p>
    <w:p>
      <w:pPr>
        <w:pStyle w:val="ListBullet"/>
        <w:ind w:left="360" w:hanging="360"/>
      </w:pPr>
      <w:r>
        <w:rPr>
          <w:rFonts w:ascii="Calibri" w:hAnsi="Calibri"/>
          <w:b/>
          <w:color w:val="525866"/>
          <w:sz w:val="22"/>
        </w:rPr>
        <w:t>FIFA World Cup contributed ~70bps to system-wide RevPAR growth</w:t>
      </w:r>
      <w:r>
        <w:rPr>
          <w:rFonts w:ascii="Calibri" w:hAnsi="Calibri"/>
          <w:color w:val="525866"/>
          <w:sz w:val="22"/>
        </w:rPr>
        <w:t>, with host cities delivering double-digit growth in the second half of June. Group RevPAR in World Cup host cities increased more than 13% in June; leisure transient growth in US World Cup host cities was over 17% in June.</w:t>
      </w:r>
    </w:p>
    <w:p>
      <w:pPr>
        <w:pStyle w:val="ListBullet"/>
        <w:ind w:left="360" w:hanging="360"/>
      </w:pPr>
      <w:r>
        <w:rPr>
          <w:rFonts w:ascii="Calibri" w:hAnsi="Calibri"/>
          <w:b/>
          <w:color w:val="525866"/>
          <w:sz w:val="22"/>
        </w:rPr>
        <w:t>Select service RevPAR increased 3.5%</w:t>
      </w:r>
      <w:r>
        <w:rPr>
          <w:rFonts w:ascii="Calibri" w:hAnsi="Calibri"/>
          <w:color w:val="525866"/>
          <w:sz w:val="22"/>
        </w:rPr>
        <w:t>, driven by improving business transient demand and easier comparisons. Business transient RevPAR increased ~2% in Q2; group RevPAR increased more than 7%. Leisure transient RevPAR increased ~7%, led by luxury brands.</w:t>
      </w:r>
    </w:p>
    <w:p>
      <w:pPr>
        <w:pStyle w:val="ListBullet"/>
        <w:ind w:left="360" w:hanging="360"/>
      </w:pPr>
      <w:r>
        <w:rPr>
          <w:rFonts w:ascii="Calibri" w:hAnsi="Calibri"/>
          <w:b/>
          <w:color w:val="525866"/>
          <w:sz w:val="22"/>
        </w:rPr>
        <w:t>Greater China RevPAR increased 7.2% YoY</w:t>
      </w:r>
      <w:r>
        <w:rPr>
          <w:rFonts w:ascii="Calibri" w:hAnsi="Calibri"/>
          <w:color w:val="525866"/>
          <w:sz w:val="22"/>
        </w:rPr>
        <w:t>, supported by leisure transient demand and strong ADR growth. China luxury properties up 11%. Inbound traffic into China up 18% from the US and 24% from Europe.</w:t>
      </w:r>
    </w:p>
    <w:p>
      <w:pPr>
        <w:pStyle w:val="ListBullet"/>
        <w:ind w:left="360" w:hanging="360"/>
      </w:pPr>
      <w:r>
        <w:rPr>
          <w:rFonts w:ascii="Calibri" w:hAnsi="Calibri"/>
          <w:b/>
          <w:color w:val="525866"/>
          <w:sz w:val="22"/>
        </w:rPr>
        <w:t>Outside the US, RevPAR increased nearly 5% and 7.5% excluding the Middle East</w:t>
      </w:r>
      <w:r>
        <w:rPr>
          <w:rFonts w:ascii="Calibri" w:hAnsi="Calibri"/>
          <w:color w:val="525866"/>
          <w:sz w:val="22"/>
        </w:rPr>
        <w:t>. Asia Pacific (ex-Greater China) delivered robust RevPAR growth of more than 10%. Europe generated RevPAR growth of 4.5%.</w:t>
      </w:r>
    </w:p>
    <w:p>
      <w:pPr>
        <w:pStyle w:val="ListBullet"/>
        <w:ind w:left="360" w:hanging="360"/>
      </w:pPr>
      <w:r>
        <w:rPr>
          <w:rFonts w:ascii="Calibri" w:hAnsi="Calibri"/>
          <w:b/>
          <w:color w:val="525866"/>
          <w:sz w:val="22"/>
        </w:rPr>
        <w:t>Middle East RevPAR declined 36% YoY</w:t>
      </w:r>
      <w:r>
        <w:rPr>
          <w:rFonts w:ascii="Calibri" w:hAnsi="Calibri"/>
          <w:color w:val="525866"/>
          <w:sz w:val="22"/>
        </w:rPr>
        <w:t>. Full-year Middle East fees impact estimated at ~$10M. Hyatt expects hotel revenues in the Middle East to remain significantly below last year.</w:t>
      </w:r>
    </w:p>
    <w:p>
      <w:pPr>
        <w:pStyle w:val="ListBullet"/>
        <w:ind w:left="360" w:hanging="360"/>
      </w:pPr>
      <w:r>
        <w:rPr>
          <w:rFonts w:ascii="Calibri" w:hAnsi="Calibri"/>
          <w:b/>
          <w:color w:val="525866"/>
          <w:sz w:val="22"/>
        </w:rPr>
        <w:t>Full-year system-wide RevPAR growth outlook raised to 3.5–4.5%</w:t>
      </w:r>
      <w:r>
        <w:rPr>
          <w:rFonts w:ascii="Calibri" w:hAnsi="Calibri"/>
          <w:color w:val="525866"/>
          <w:sz w:val="22"/>
        </w:rPr>
        <w:t xml:space="preserve"> (from prior range). Q3 2026 RevPAR expected towards the low end of full-year range. Gross fees expected to grow in the high single-digit range in Q3.</w:t>
      </w:r>
    </w:p>
    <w:p>
      <w:pPr>
        <w:pStyle w:val="ListBullet"/>
        <w:ind w:left="360" w:hanging="360"/>
      </w:pPr>
      <w:r>
        <w:rPr>
          <w:rFonts w:ascii="Calibri" w:hAnsi="Calibri"/>
          <w:b/>
          <w:color w:val="525866"/>
          <w:sz w:val="22"/>
        </w:rPr>
        <w:t xml:space="preserve">Read-through for MAR: </w:t>
      </w:r>
      <w:r>
        <w:rPr>
          <w:rFonts w:ascii="Calibri" w:hAnsi="Calibri"/>
          <w:i/>
          <w:color w:val="525866"/>
          <w:sz w:val="22"/>
        </w:rPr>
        <w:t>Strongly positive. H's luxury and leisure strength is directly applicable to MAR's upper-upscale and luxury portfolio. H's Greater China outperformance (+7.2%) is a positive signal for MAR's Greater China business (MAR guided low single-digit growth for FY 2026). H's Middle East drag (-36%) is in line with MAR's guided -50% for Q2, suggesting MAR's guidance was appropriately conservative.</w:t>
      </w:r>
    </w:p>
    <w:p>
      <w:pPr>
        <w:pStyle w:val="Heading3"/>
      </w:pPr>
      <w:r>
        <w:rPr>
          <w:rFonts w:ascii="Calibri" w:hAnsi="Calibri"/>
          <w:b/>
          <w:color w:val="3B4259"/>
          <w:sz w:val="24"/>
        </w:rPr>
        <w:t>Wyndham (WH) — Q2 2026 Earnings (Reported July 22, 2026)</w:t>
      </w:r>
    </w:p>
    <w:p>
      <w:pPr>
        <w:pStyle w:val="ListBullet"/>
        <w:ind w:left="360" w:hanging="360"/>
      </w:pPr>
      <w:r>
        <w:rPr>
          <w:rFonts w:ascii="Calibri" w:hAnsi="Calibri"/>
          <w:b/>
          <w:color w:val="525866"/>
          <w:sz w:val="22"/>
        </w:rPr>
        <w:t>US RevPAR grew +2%, 120bps ahead of expectations</w:t>
      </w:r>
      <w:r>
        <w:rPr>
          <w:rFonts w:ascii="Calibri" w:hAnsi="Calibri"/>
          <w:color w:val="525866"/>
          <w:sz w:val="22"/>
        </w:rPr>
        <w:t>, with domestic RevPAR improving 200bps sequentially to +2%. Three largest states (TX, CA, FL) improved 700bps sequentially from -3% in Q1 to +4% in Q2.</w:t>
      </w:r>
    </w:p>
    <w:p>
      <w:pPr>
        <w:pStyle w:val="ListBullet"/>
        <w:ind w:left="360" w:hanging="360"/>
      </w:pPr>
      <w:r>
        <w:rPr>
          <w:rFonts w:ascii="Calibri" w:hAnsi="Calibri"/>
          <w:b/>
          <w:color w:val="525866"/>
          <w:sz w:val="22"/>
        </w:rPr>
        <w:t>Industrial Midwest continued strong performance</w:t>
      </w:r>
      <w:r>
        <w:rPr>
          <w:rFonts w:ascii="Calibri" w:hAnsi="Calibri"/>
          <w:color w:val="525866"/>
          <w:sz w:val="22"/>
        </w:rPr>
        <w:t>: Illinois and Indiana up 10%, Iowa up 9%, Wisconsin up 7%, Ohio up 6% — driven by infrastructure-related demand boosting mid-week occupancy.</w:t>
      </w:r>
    </w:p>
    <w:p>
      <w:pPr>
        <w:pStyle w:val="ListBullet"/>
        <w:ind w:left="360" w:hanging="360"/>
      </w:pPr>
      <w:r>
        <w:rPr>
          <w:rFonts w:ascii="Calibri" w:hAnsi="Calibri"/>
          <w:b/>
          <w:color w:val="525866"/>
          <w:sz w:val="22"/>
        </w:rPr>
        <w:t>Domestic RevPAR driven by both demand (+60bps) and ADR (+160bps)</w:t>
      </w:r>
      <w:r>
        <w:rPr>
          <w:rFonts w:ascii="Calibri" w:hAnsi="Calibri"/>
          <w:color w:val="525866"/>
          <w:sz w:val="22"/>
        </w:rPr>
        <w:t>. Occupancy at ~90% of 2019 levels with ~10% tailwind remaining. Back-half domestic RevPAR guidance raised from flat to +2%, assumed ~two-thirds rate-driven and one-third occupancy-driven.</w:t>
      </w:r>
    </w:p>
    <w:p>
      <w:pPr>
        <w:pStyle w:val="ListBullet"/>
        <w:ind w:left="360" w:hanging="360"/>
      </w:pPr>
      <w:r>
        <w:rPr>
          <w:rFonts w:ascii="Calibri" w:hAnsi="Calibri"/>
          <w:b/>
          <w:color w:val="525866"/>
          <w:sz w:val="22"/>
        </w:rPr>
        <w:t>Strong leisure and everyday business travel trends continued into July</w:t>
      </w:r>
      <w:r>
        <w:rPr>
          <w:rFonts w:ascii="Calibri" w:hAnsi="Calibri"/>
          <w:color w:val="525866"/>
          <w:sz w:val="22"/>
        </w:rPr>
        <w:t>. Booking lead times holding steady at ~15 days; cancellation rates improving. Average distance driven to resorts this summer was 360 miles, up 30 miles from Q1.</w:t>
      </w:r>
    </w:p>
    <w:p>
      <w:pPr>
        <w:pStyle w:val="ListBullet"/>
        <w:ind w:left="360" w:hanging="360"/>
      </w:pPr>
      <w:r>
        <w:rPr>
          <w:rFonts w:ascii="Calibri" w:hAnsi="Calibri"/>
          <w:b/>
          <w:color w:val="525866"/>
          <w:sz w:val="22"/>
        </w:rPr>
        <w:t>Middle East RevPAR declined from -5% in Q1 to -45% in Q2</w:t>
      </w:r>
      <w:r>
        <w:rPr>
          <w:rFonts w:ascii="Calibri" w:hAnsi="Calibri"/>
          <w:color w:val="525866"/>
          <w:sz w:val="22"/>
        </w:rPr>
        <w:t xml:space="preserve"> (Middle East is &lt;1% of WH system). Global RevPAR outlook raised to flat to +1% (up 100bps at low end).</w:t>
      </w:r>
    </w:p>
    <w:p>
      <w:pPr>
        <w:pStyle w:val="ListBullet"/>
        <w:ind w:left="360" w:hanging="360"/>
      </w:pPr>
      <w:r>
        <w:rPr>
          <w:rFonts w:ascii="Calibri" w:hAnsi="Calibri"/>
          <w:b/>
          <w:color w:val="525866"/>
          <w:sz w:val="22"/>
        </w:rPr>
        <w:t xml:space="preserve">Read-through for MAR: </w:t>
      </w:r>
      <w:r>
        <w:rPr>
          <w:rFonts w:ascii="Calibri" w:hAnsi="Calibri"/>
          <w:i/>
          <w:color w:val="525866"/>
          <w:sz w:val="22"/>
        </w:rPr>
        <w:t>Moderately positive. WH's select-service/economy focus is less directly comparable to MAR's full-service/luxury mix, but the domestic demand recovery (especially infrastructure-driven weekday demand and leisure) is a positive signal for MAR's US &amp; Canada select service segment, which turned positive in Q1 2026 after declining in Q4 2025. WH's 700bps sequential improvement in its three largest states is consistent with MAR's commentary about broad-based US demand strength.</w:t>
      </w:r>
    </w:p>
    <w:p>
      <w:pPr>
        <w:pStyle w:val="Heading3"/>
      </w:pPr>
      <w:r>
        <w:rPr>
          <w:rFonts w:ascii="Calibri" w:hAnsi="Calibri"/>
          <w:b/>
          <w:color w:val="3B4259"/>
          <w:sz w:val="24"/>
        </w:rPr>
        <w:t>IHG — Q1 2026 Sales &amp; Revenue Call (May 7, 2026) — Forward-Looking Q2 Commentary</w:t>
      </w:r>
    </w:p>
    <w:p>
      <w:pPr>
        <w:pStyle w:val="ListBullet"/>
        <w:ind w:left="360" w:hanging="360"/>
      </w:pPr>
      <w:r>
        <w:rPr>
          <w:rFonts w:ascii="Calibri" w:hAnsi="Calibri"/>
          <w:b/>
          <w:color w:val="525866"/>
          <w:sz w:val="22"/>
        </w:rPr>
        <w:t>Global RevPAR grew +4.4% in Q1 2026</w:t>
      </w:r>
      <w:r>
        <w:rPr>
          <w:rFonts w:ascii="Calibri" w:hAnsi="Calibri"/>
          <w:color w:val="525866"/>
          <w:sz w:val="22"/>
        </w:rPr>
        <w:t>, with Americas up 3.6% (US up 3.4%), EMEA up 5.6%, and Greater China up 5.7%. All three demand drivers contributed: groups +7%, business +6%, leisure +1%.</w:t>
      </w:r>
    </w:p>
    <w:p>
      <w:pPr>
        <w:pStyle w:val="ListBullet"/>
        <w:ind w:left="360" w:hanging="360"/>
      </w:pPr>
      <w:r>
        <w:rPr>
          <w:rFonts w:ascii="Calibri" w:hAnsi="Calibri"/>
          <w:b/>
          <w:color w:val="525866"/>
          <w:sz w:val="22"/>
        </w:rPr>
        <w:t>On-the-books global revenue for Q2 2026 indicated continued growth</w:t>
      </w:r>
      <w:r>
        <w:rPr>
          <w:rFonts w:ascii="Calibri" w:hAnsi="Calibri"/>
          <w:color w:val="525866"/>
          <w:sz w:val="22"/>
        </w:rPr>
        <w:t>, with Middle East impact expected to be more than offset by increases in demand elsewhere. Americas momentum continued into Q2, with rolling 8-week data to May 2 showing further improvement beyond Q1's 3.6%.</w:t>
      </w:r>
    </w:p>
    <w:p>
      <w:pPr>
        <w:pStyle w:val="ListBullet"/>
        <w:ind w:left="360" w:hanging="360"/>
      </w:pPr>
      <w:r>
        <w:rPr>
          <w:rFonts w:ascii="Calibri" w:hAnsi="Calibri"/>
          <w:b/>
          <w:color w:val="525866"/>
          <w:sz w:val="22"/>
        </w:rPr>
        <w:t>US fundamentals described as robust</w:t>
      </w:r>
      <w:r>
        <w:rPr>
          <w:rFonts w:ascii="Calibri" w:hAnsi="Calibri"/>
          <w:color w:val="525866"/>
          <w:sz w:val="22"/>
        </w:rPr>
        <w:t>: record employment, real wage growth, unprecedented investment in infrastructure, data centers, and AI. Government travel outlook for Q2 and Q3 described as 'even more positive' than April's positive turn.</w:t>
      </w:r>
    </w:p>
    <w:p>
      <w:pPr>
        <w:pStyle w:val="ListBullet"/>
        <w:ind w:left="360" w:hanging="360"/>
      </w:pPr>
      <w:r>
        <w:rPr>
          <w:rFonts w:ascii="Calibri" w:hAnsi="Calibri"/>
          <w:b/>
          <w:color w:val="525866"/>
          <w:sz w:val="22"/>
        </w:rPr>
        <w:t>Middle East (5% of IHG globally) saw RevPAR decline closer to 50% in April</w:t>
      </w:r>
      <w:r>
        <w:rPr>
          <w:rFonts w:ascii="Calibri" w:hAnsi="Calibri"/>
          <w:color w:val="525866"/>
          <w:sz w:val="22"/>
        </w:rPr>
        <w:t>. IHG believes the worst of the conflict is behind them; 90% of Middle East pipeline in Saudi Arabia, Egypt, and Turkey, which are less affected by the conflict.</w:t>
      </w:r>
    </w:p>
    <w:p>
      <w:pPr>
        <w:pStyle w:val="ListBullet"/>
        <w:ind w:left="360" w:hanging="360"/>
      </w:pPr>
      <w:r>
        <w:rPr>
          <w:rFonts w:ascii="Calibri" w:hAnsi="Calibri"/>
          <w:b/>
          <w:color w:val="525866"/>
          <w:sz w:val="22"/>
        </w:rPr>
        <w:t>World Cup bookings in US, Mexico, and Canada meeting expectations</w:t>
      </w:r>
      <w:r>
        <w:rPr>
          <w:rFonts w:ascii="Calibri" w:hAnsi="Calibri"/>
          <w:color w:val="525866"/>
          <w:sz w:val="22"/>
        </w:rPr>
        <w:t>; annual Americas impact estimated at 30–80bps. World Cup viewed as an additional positive on top of continuing momentum, not the primary driver.</w:t>
      </w:r>
    </w:p>
    <w:p>
      <w:pPr>
        <w:pStyle w:val="ListBullet"/>
        <w:ind w:left="360" w:hanging="360"/>
      </w:pPr>
      <w:r>
        <w:rPr>
          <w:rFonts w:ascii="Calibri" w:hAnsi="Calibri"/>
          <w:b/>
          <w:color w:val="525866"/>
          <w:sz w:val="22"/>
        </w:rPr>
        <w:t xml:space="preserve">Read-through for MAR: </w:t>
      </w:r>
      <w:r>
        <w:rPr>
          <w:rFonts w:ascii="Calibri" w:hAnsi="Calibri"/>
          <w:i/>
          <w:color w:val="525866"/>
          <w:sz w:val="22"/>
        </w:rPr>
        <w:t>Positive. IHG's Q2 forward-looking commentary (made in early May) was constructive — Americas momentum accelerating, Middle East impact manageable, World Cup tracking to expectations. This was consistent with MAR's own Q1 earnings commentary and supports the view that Q2 should be a solid quarter for MAR. IHG's characterization of US fundamentals as 'robust' aligns with MAR's CFO commentary at the June 1 Morgan Stanley conference.</w:t>
      </w:r>
    </w:p>
    <w:p>
      <w:pPr>
        <w:pStyle w:val="Heading3"/>
      </w:pPr>
      <w:r>
        <w:rPr>
          <w:rFonts w:ascii="Calibri" w:hAnsi="Calibri"/>
          <w:b/>
          <w:color w:val="3B4259"/>
          <w:sz w:val="24"/>
        </w:rPr>
        <w:t>Hyatt (H) — Morgan Stanley Travel &amp; Leisure Conference (June 2, 2026)</w:t>
      </w:r>
    </w:p>
    <w:p>
      <w:pPr>
        <w:pStyle w:val="ListBullet"/>
        <w:ind w:left="360" w:hanging="360"/>
      </w:pPr>
      <w:r>
        <w:rPr>
          <w:rFonts w:ascii="Calibri" w:hAnsi="Calibri"/>
          <w:b/>
          <w:color w:val="525866"/>
          <w:sz w:val="22"/>
        </w:rPr>
        <w:t>Hyatt CFO indicated Q2 RevPAR tracking better than the ~3% indication given at Q1 earnings</w:t>
      </w:r>
      <w:r>
        <w:rPr>
          <w:rFonts w:ascii="Calibri" w:hAnsi="Calibri"/>
          <w:color w:val="525866"/>
          <w:sz w:val="22"/>
        </w:rPr>
        <w:t>: 'We had given some Q2 sort of indication. We said about 3%. We feel very confident about that number better.' This was a pre-print signal of Q2 outperformance.</w:t>
      </w:r>
    </w:p>
    <w:p>
      <w:pPr>
        <w:pStyle w:val="ListBullet"/>
        <w:ind w:left="360" w:hanging="360"/>
      </w:pPr>
      <w:r>
        <w:rPr>
          <w:rFonts w:ascii="Calibri" w:hAnsi="Calibri"/>
          <w:b/>
          <w:color w:val="525866"/>
          <w:sz w:val="22"/>
        </w:rPr>
        <w:t>Demand feels 'more solid' and 'more normal'</w:t>
      </w:r>
      <w:r>
        <w:rPr>
          <w:rFonts w:ascii="Calibri" w:hAnsi="Calibri"/>
          <w:color w:val="525866"/>
          <w:sz w:val="22"/>
        </w:rPr>
        <w:t xml:space="preserve"> compared to the 'choppy' periods of 2024 and 2025. Persistent demand from larger corporate managed accounts and global accounts; SMBs also positive.</w:t>
      </w:r>
    </w:p>
    <w:p>
      <w:pPr>
        <w:pStyle w:val="ListBullet"/>
        <w:ind w:left="360" w:hanging="360"/>
      </w:pPr>
      <w:r>
        <w:rPr>
          <w:rFonts w:ascii="Calibri" w:hAnsi="Calibri"/>
          <w:b/>
          <w:color w:val="525866"/>
          <w:sz w:val="22"/>
        </w:rPr>
        <w:t>Middle East 'gotten progressively better in April and now even in May'</w:t>
      </w:r>
      <w:r>
        <w:rPr>
          <w:rFonts w:ascii="Calibri" w:hAnsi="Calibri"/>
          <w:color w:val="525866"/>
          <w:sz w:val="22"/>
        </w:rPr>
        <w:t xml:space="preserve"> compared to April. International demand 'very, very strong in Asia, Europe.'</w:t>
      </w:r>
    </w:p>
    <w:p>
      <w:pPr>
        <w:pStyle w:val="ListBullet"/>
        <w:ind w:left="360" w:hanging="360"/>
      </w:pPr>
      <w:r>
        <w:rPr>
          <w:rFonts w:ascii="Calibri" w:hAnsi="Calibri"/>
          <w:b/>
          <w:color w:val="525866"/>
          <w:sz w:val="22"/>
        </w:rPr>
        <w:t>Key risk flagged: inflation and fuel costs</w:t>
      </w:r>
      <w:r>
        <w:rPr>
          <w:rFonts w:ascii="Calibri" w:hAnsi="Calibri"/>
          <w:color w:val="525866"/>
          <w:sz w:val="22"/>
        </w:rPr>
        <w:t xml:space="preserve"> as the primary upside/downside factor for lower-income household travel budgets. A more prompt conclusion to global conflicts and recovery in fuel production could sustain demand longer.</w:t>
      </w:r>
    </w:p>
    <w:p>
      <w:pPr>
        <w:pStyle w:val="ListBullet"/>
        <w:ind w:left="360" w:hanging="360"/>
      </w:pPr>
      <w:r>
        <w:rPr>
          <w:rFonts w:ascii="Calibri" w:hAnsi="Calibri"/>
          <w:b/>
          <w:color w:val="525866"/>
          <w:sz w:val="22"/>
        </w:rPr>
        <w:t xml:space="preserve">Read-through for MAR: </w:t>
      </w:r>
      <w:r>
        <w:rPr>
          <w:rFonts w:ascii="Calibri" w:hAnsi="Calibri"/>
          <w:i/>
          <w:color w:val="525866"/>
          <w:sz w:val="22"/>
        </w:rPr>
        <w:t>Positive. H's pre-print signal of Q2 outperformance (confirmed by the actual Q2 print of +5.9%) and improving Middle East trends are consistent with MAR's own June 1 commentary. The 'more normal' demand characterization supports MAR's constructive back-half outlook.</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material development since Q1 earnings is the </w:t>
      </w:r>
      <w:r>
        <w:rPr>
          <w:rFonts w:ascii="Calibri" w:hAnsi="Calibri"/>
          <w:b/>
          <w:color w:val="525866"/>
          <w:sz w:val="22"/>
        </w:rPr>
        <w:t>strong peer read-through from HLT and H Q2 prints</w:t>
      </w:r>
      <w:r>
        <w:rPr>
          <w:rFonts w:ascii="Calibri" w:hAnsi="Calibri"/>
          <w:color w:val="525866"/>
          <w:sz w:val="22"/>
        </w:rPr>
        <w:t xml:space="preserve">, which both beat MAR's guided RevPAR range; </w:t>
      </w:r>
      <w:r>
        <w:rPr>
          <w:rFonts w:ascii="Calibri" w:hAnsi="Calibri"/>
          <w:b/>
          <w:color w:val="525866"/>
          <w:sz w:val="22"/>
        </w:rPr>
        <w:t>credit card renewal negotiations remain the key catalyst watch item</w:t>
      </w:r>
      <w:r>
        <w:rPr>
          <w:rFonts w:ascii="Calibri" w:hAnsi="Calibri"/>
          <w:color w:val="525866"/>
          <w:sz w:val="22"/>
        </w:rPr>
        <w:t xml:space="preserve"> for the remainder of 2026.</w:t>
      </w:r>
    </w:p>
    <w:p>
      <w:pPr>
        <w:pStyle w:val="ListBullet"/>
        <w:ind w:left="360" w:hanging="360"/>
      </w:pPr>
      <w:r>
        <w:rPr>
          <w:rFonts w:ascii="Calibri" w:hAnsi="Calibri"/>
          <w:b/>
          <w:color w:val="525866"/>
          <w:sz w:val="22"/>
        </w:rPr>
        <w:t xml:space="preserve">July 30, 2026 — H Q2 2026 Earnings: </w:t>
      </w:r>
      <w:r>
        <w:rPr>
          <w:rFonts w:ascii="Calibri" w:hAnsi="Calibri"/>
          <w:color w:val="525866"/>
          <w:sz w:val="22"/>
        </w:rPr>
        <w:t xml:space="preserve">Hyatt reported Q2 system-wide RevPAR of +5.9%, well above expectations, and raised full-year RevPAR guidance to 3.5–4.5%. Luxury and leisure segments led; Greater China up 7.2%. </w:t>
      </w:r>
      <w:r>
        <w:rPr>
          <w:rFonts w:ascii="Calibri" w:hAnsi="Calibri"/>
          <w:i/>
          <w:color w:val="525866"/>
          <w:sz w:val="22"/>
        </w:rPr>
        <w:t>Strong positive read-through for MAR's luxury and full-service portfolio.</w:t>
      </w:r>
    </w:p>
    <w:p>
      <w:pPr>
        <w:pStyle w:val="ListBullet"/>
        <w:ind w:left="360" w:hanging="360"/>
      </w:pPr>
      <w:r>
        <w:rPr>
          <w:rFonts w:ascii="Calibri" w:hAnsi="Calibri"/>
          <w:b/>
          <w:color w:val="525866"/>
          <w:sz w:val="22"/>
        </w:rPr>
        <w:t xml:space="preserve">July 28, 2026 — HLT Q2 2026 Earnings: </w:t>
      </w:r>
      <w:r>
        <w:rPr>
          <w:rFonts w:ascii="Calibri" w:hAnsi="Calibri"/>
          <w:color w:val="525866"/>
          <w:sz w:val="22"/>
        </w:rPr>
        <w:t xml:space="preserve">Hilton reported Q2 system-wide RevPAR of +3.9%, beating expectations and raising full-year RevPAR guidance to 3.0–3.5%. Strong positive read-through for MAR's Q2 print. Business transient and group both exceeded expectations; World Cup contributed ~1.5–1.7% to US RevPAR. </w:t>
      </w:r>
      <w:r>
        <w:rPr>
          <w:rFonts w:ascii="Calibri" w:hAnsi="Calibri"/>
          <w:i/>
          <w:color w:val="525866"/>
          <w:sz w:val="22"/>
        </w:rPr>
        <w:t>Adjusted EBITDA of $1.054B exceeded the high end of guidance.</w:t>
      </w:r>
    </w:p>
    <w:p>
      <w:pPr>
        <w:pStyle w:val="ListBullet"/>
        <w:ind w:left="360" w:hanging="360"/>
      </w:pPr>
      <w:r>
        <w:rPr>
          <w:rFonts w:ascii="Calibri" w:hAnsi="Calibri"/>
          <w:b/>
          <w:color w:val="525866"/>
          <w:sz w:val="22"/>
        </w:rPr>
        <w:t xml:space="preserve">July 22, 2026 — WH Q2 2026 Earnings: </w:t>
      </w:r>
      <w:r>
        <w:rPr>
          <w:rFonts w:ascii="Calibri" w:hAnsi="Calibri"/>
          <w:color w:val="525866"/>
          <w:sz w:val="22"/>
        </w:rPr>
        <w:t xml:space="preserve">Wyndham reported US RevPAR of +2%, 120bps ahead of expectations, with domestic demand recovery accelerating. Raised global RevPAR outlook to flat to +1%. </w:t>
      </w:r>
      <w:r>
        <w:rPr>
          <w:rFonts w:ascii="Calibri" w:hAnsi="Calibri"/>
          <w:i/>
          <w:color w:val="525866"/>
          <w:sz w:val="22"/>
        </w:rPr>
        <w:t>Positive read-through for MAR's select service segment.</w:t>
      </w:r>
    </w:p>
    <w:p>
      <w:pPr>
        <w:pStyle w:val="ListBullet"/>
        <w:ind w:left="360" w:hanging="360"/>
      </w:pPr>
      <w:r>
        <w:rPr>
          <w:rFonts w:ascii="Calibri" w:hAnsi="Calibri"/>
          <w:b/>
          <w:color w:val="525866"/>
          <w:sz w:val="22"/>
        </w:rPr>
        <w:t xml:space="preserve">July 13, 2026 — MAR Announces Q2 2026 Earnings Release Date: </w:t>
      </w:r>
      <w:r>
        <w:rPr>
          <w:rFonts w:ascii="Calibri" w:hAnsi="Calibri"/>
          <w:color w:val="525866"/>
          <w:sz w:val="22"/>
        </w:rPr>
        <w:t>Marriott announced the release date for Q2 2026 earnings (specific date not disclosed in the press release). Earnings expected in early August 2026.</w:t>
      </w:r>
    </w:p>
    <w:p>
      <w:pPr>
        <w:pStyle w:val="ListBullet"/>
        <w:ind w:left="360" w:hanging="360"/>
      </w:pPr>
      <w:r>
        <w:rPr>
          <w:rFonts w:ascii="Calibri" w:hAnsi="Calibri"/>
          <w:b/>
          <w:color w:val="525866"/>
          <w:sz w:val="22"/>
        </w:rPr>
        <w:t xml:space="preserve">June 1, 2026 — Morgan Stanley Travel &amp; Leisure Conference (CFO Jennifer Mason): </w:t>
      </w:r>
      <w:r>
        <w:rPr>
          <w:rFonts w:ascii="Calibri" w:hAnsi="Calibri"/>
          <w:color w:val="525866"/>
          <w:sz w:val="22"/>
        </w:rPr>
        <w:t xml:space="preserve">Confirmed Q2 RevPAR tracking in line with 1.5–2.5% guidance; April US &amp; Canada up just over 4%; Middle East down ~60% in April but May less severe; June/July US &amp; Canada bookings pacing up nicely in both World Cup and non-World Cup markets. </w:t>
      </w:r>
      <w:r>
        <w:rPr>
          <w:rFonts w:ascii="Calibri" w:hAnsi="Calibri"/>
          <w:b/>
          <w:color w:val="525866"/>
          <w:sz w:val="22"/>
        </w:rPr>
        <w:t>Credit card renewal discussions with Chase, Amex, and Visa ongoing; new deals expected later in 2026.</w:t>
      </w:r>
      <w:r>
        <w:rPr>
          <w:rFonts w:ascii="Calibri" w:hAnsi="Calibri"/>
          <w:color w:val="525866"/>
          <w:sz w:val="22"/>
        </w:rPr>
        <w:t xml:space="preserve"> Leisure segment 'very confident'; group RevPAR up over 5% in Q1 with great pace for full year.</w:t>
      </w:r>
    </w:p>
    <w:p>
      <w:pPr>
        <w:pStyle w:val="ListBullet"/>
        <w:ind w:left="360" w:hanging="360"/>
      </w:pPr>
      <w:r>
        <w:rPr>
          <w:rFonts w:ascii="Calibri" w:hAnsi="Calibri"/>
          <w:b/>
          <w:color w:val="525866"/>
          <w:sz w:val="22"/>
        </w:rPr>
        <w:t xml:space="preserve">May 28, 2026 — Hyatt Investor Day: </w:t>
      </w:r>
      <w:r>
        <w:rPr>
          <w:rFonts w:ascii="Calibri" w:hAnsi="Calibri"/>
          <w:color w:val="525866"/>
          <w:sz w:val="22"/>
        </w:rPr>
        <w:t>Hyatt outlined long-term RevPAR CAGR of 2–4% through 2028, citing durable demand from high-end travelers. Positive read-through for MAR's luxury/full-service positioning. Hyatt growing share with 70% of its top 30 corporate accounts.</w:t>
      </w:r>
    </w:p>
    <w:p>
      <w:pPr>
        <w:pStyle w:val="ListBullet"/>
        <w:ind w:left="360" w:hanging="360"/>
      </w:pPr>
      <w:r>
        <w:rPr>
          <w:rFonts w:ascii="Calibri" w:hAnsi="Calibri"/>
          <w:b/>
          <w:color w:val="525866"/>
          <w:sz w:val="22"/>
        </w:rPr>
        <w:t xml:space="preserve">May 19, 2026 — Insider Sale (Peggy Roe, EVP &amp; Chief Customer Officer): </w:t>
      </w:r>
      <w:r>
        <w:rPr>
          <w:rFonts w:ascii="Calibri" w:hAnsi="Calibri"/>
          <w:color w:val="525866"/>
          <w:sz w:val="22"/>
        </w:rPr>
        <w:t>Sold 3,000 shares at market on May 18, 2026 (disclosed May 19). Not on a 10b5-1 plan. Modest in size relative to remaining holdings of 19,827 shares.</w:t>
      </w:r>
    </w:p>
    <w:p>
      <w:pPr>
        <w:pStyle w:val="ListBullet"/>
        <w:ind w:left="360" w:hanging="360"/>
      </w:pPr>
      <w:r>
        <w:rPr>
          <w:rFonts w:ascii="Calibri" w:hAnsi="Calibri"/>
          <w:b/>
          <w:color w:val="525866"/>
          <w:sz w:val="22"/>
        </w:rPr>
        <w:t xml:space="preserve">May 13–14, 2026 — Insider Sale (Yibing Mao, President Greater China): </w:t>
      </w:r>
      <w:r>
        <w:rPr>
          <w:rFonts w:ascii="Calibri" w:hAnsi="Calibri"/>
          <w:color w:val="525866"/>
          <w:sz w:val="22"/>
        </w:rPr>
        <w:t>Sold 4,816 shares on May 13, 2026 (disclosed May 14). Not on a 10b5-1 plan. Remaining holdings of 27,398 shares.</w:t>
      </w:r>
    </w:p>
    <w:p>
      <w:pPr>
        <w:pStyle w:val="ListBullet"/>
        <w:ind w:left="360" w:hanging="360"/>
      </w:pPr>
      <w:r>
        <w:rPr>
          <w:rFonts w:ascii="Calibri" w:hAnsi="Calibri"/>
          <w:b/>
          <w:color w:val="525866"/>
          <w:sz w:val="22"/>
        </w:rPr>
        <w:t xml:space="preserve">May 13, 2026 — Annual Meeting: </w:t>
      </w:r>
      <w:r>
        <w:rPr>
          <w:rFonts w:ascii="Calibri" w:hAnsi="Calibri"/>
          <w:color w:val="525866"/>
          <w:sz w:val="22"/>
        </w:rPr>
        <w:t>Shareholders affirmed board, auditors, and executive pay at the annual meeting (8-K filed May 13, 2026). Routine governance event; no material changes.</w:t>
      </w:r>
    </w:p>
    <w:p>
      <w:pPr>
        <w:pStyle w:val="ListBullet"/>
        <w:ind w:left="360" w:hanging="360"/>
      </w:pPr>
      <w:r>
        <w:rPr>
          <w:rFonts w:ascii="Calibri" w:hAnsi="Calibri"/>
          <w:b/>
          <w:color w:val="525866"/>
          <w:sz w:val="22"/>
        </w:rPr>
        <w:t xml:space="preserve">February 20, 2026 — Debt Issuance: </w:t>
      </w:r>
      <w:r>
        <w:rPr>
          <w:rFonts w:ascii="Calibri" w:hAnsi="Calibri"/>
          <w:color w:val="525866"/>
          <w:sz w:val="22"/>
        </w:rPr>
        <w:t>Marriott issued $1.45 billion in senior notes (8-K filed February 20, 2026). Consistent with ongoing capital structure management and shareholder return program (&gt;$4.4B targeted for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Two discretionary open-market sales by senior executives shortly after Q1 earnings — </w:t>
      </w:r>
      <w:r>
        <w:rPr>
          <w:rFonts w:ascii="Calibri" w:hAnsi="Calibri"/>
          <w:b/>
          <w:color w:val="525866"/>
          <w:sz w:val="22"/>
        </w:rPr>
        <w:t>neither on a 10b5-1 plan</w:t>
      </w:r>
      <w:r>
        <w:rPr>
          <w:rFonts w:ascii="Calibri" w:hAnsi="Calibri"/>
          <w:color w:val="525866"/>
          <w:sz w:val="22"/>
        </w:rPr>
        <w:t xml:space="preserve"> — are worth noting, though both are modest in size relative to remaining holdings and likely reflect routine portfolio management after the post-earnings blackout period lifted rather than a negative signal on the business.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 (approx.)</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Disclosed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Peggy Roe</w:t>
            </w:r>
          </w:p>
        </w:tc>
        <w:tc>
          <w:tcPr>
            <w:tcW w:type="dxa" w:w="1234"/>
          </w:tcPr>
          <w:p>
            <w:r>
              <w:rPr>
                <w:rFonts w:ascii="Calibri" w:hAnsi="Calibri"/>
                <w:sz w:val="22"/>
              </w:rPr>
              <w:t>EVP &amp; Chief Customer Officer</w:t>
            </w:r>
          </w:p>
        </w:tc>
        <w:tc>
          <w:tcPr>
            <w:tcW w:type="dxa" w:w="1234"/>
          </w:tcPr>
          <w:p>
            <w:r>
              <w:rPr>
                <w:rFonts w:ascii="Calibri" w:hAnsi="Calibri"/>
                <w:sz w:val="22"/>
              </w:rPr>
              <w:t>Open Market Sale</w:t>
            </w:r>
          </w:p>
        </w:tc>
        <w:tc>
          <w:tcPr>
            <w:tcW w:type="dxa" w:w="1234"/>
          </w:tcPr>
          <w:p>
            <w:r>
              <w:rPr>
                <w:rFonts w:ascii="Calibri" w:hAnsi="Calibri"/>
                <w:sz w:val="22"/>
              </w:rPr>
              <w:t>~$1.1M (3,000 shares)</w:t>
            </w:r>
          </w:p>
        </w:tc>
        <w:tc>
          <w:tcPr>
            <w:tcW w:type="dxa" w:w="1234"/>
          </w:tcPr>
          <w:p>
            <w:r>
              <w:rPr>
                <w:rFonts w:ascii="Calibri" w:hAnsi="Calibri"/>
                <w:sz w:val="22"/>
              </w:rPr>
              <w:t>May 18, 2026</w:t>
            </w:r>
          </w:p>
        </w:tc>
        <w:tc>
          <w:tcPr>
            <w:tcW w:type="dxa" w:w="1234"/>
          </w:tcPr>
          <w:p>
            <w:r>
              <w:rPr>
                <w:rFonts w:ascii="Calibri" w:hAnsi="Calibri"/>
                <w:sz w:val="22"/>
              </w:rPr>
              <w:t>May 19, 2026</w:t>
            </w:r>
          </w:p>
        </w:tc>
        <w:tc>
          <w:tcPr>
            <w:tcW w:type="dxa" w:w="1234"/>
          </w:tcPr>
          <w:p>
            <w:r>
              <w:rPr>
                <w:rFonts w:ascii="Calibri" w:hAnsi="Calibri"/>
                <w:sz w:val="22"/>
              </w:rPr>
              <w:t>Not on 10b5-1 plan; 19,827 shares remaining; modest relative to holdings; sold within days of Q1 earnings blackout lift</w:t>
            </w:r>
          </w:p>
        </w:tc>
      </w:tr>
      <w:tr>
        <w:tc>
          <w:tcPr>
            <w:tcW w:type="dxa" w:w="1234"/>
          </w:tcPr>
          <w:p>
            <w:r>
              <w:rPr>
                <w:rFonts w:ascii="Calibri" w:hAnsi="Calibri"/>
                <w:sz w:val="22"/>
              </w:rPr>
              <w:t>Yibing Mao</w:t>
            </w:r>
          </w:p>
        </w:tc>
        <w:tc>
          <w:tcPr>
            <w:tcW w:type="dxa" w:w="1234"/>
          </w:tcPr>
          <w:p>
            <w:r>
              <w:rPr>
                <w:rFonts w:ascii="Calibri" w:hAnsi="Calibri"/>
                <w:sz w:val="22"/>
              </w:rPr>
              <w:t>President, Greater China</w:t>
            </w:r>
          </w:p>
        </w:tc>
        <w:tc>
          <w:tcPr>
            <w:tcW w:type="dxa" w:w="1234"/>
          </w:tcPr>
          <w:p>
            <w:r>
              <w:rPr>
                <w:rFonts w:ascii="Calibri" w:hAnsi="Calibri"/>
                <w:sz w:val="22"/>
              </w:rPr>
              <w:t>Open Market Sale</w:t>
            </w:r>
          </w:p>
        </w:tc>
        <w:tc>
          <w:tcPr>
            <w:tcW w:type="dxa" w:w="1234"/>
          </w:tcPr>
          <w:p>
            <w:r>
              <w:rPr>
                <w:rFonts w:ascii="Calibri" w:hAnsi="Calibri"/>
                <w:sz w:val="22"/>
              </w:rPr>
              <w:t>~$1.7M (4,816 shares)</w:t>
            </w:r>
          </w:p>
        </w:tc>
        <w:tc>
          <w:tcPr>
            <w:tcW w:type="dxa" w:w="1234"/>
          </w:tcPr>
          <w:p>
            <w:r>
              <w:rPr>
                <w:rFonts w:ascii="Calibri" w:hAnsi="Calibri"/>
                <w:sz w:val="22"/>
              </w:rPr>
              <w:t>May 13, 2026</w:t>
            </w:r>
          </w:p>
        </w:tc>
        <w:tc>
          <w:tcPr>
            <w:tcW w:type="dxa" w:w="1234"/>
          </w:tcPr>
          <w:p>
            <w:r>
              <w:rPr>
                <w:rFonts w:ascii="Calibri" w:hAnsi="Calibri"/>
                <w:sz w:val="22"/>
              </w:rPr>
              <w:t>May 14, 2026</w:t>
            </w:r>
          </w:p>
        </w:tc>
        <w:tc>
          <w:tcPr>
            <w:tcW w:type="dxa" w:w="1234"/>
          </w:tcPr>
          <w:p>
            <w:r>
              <w:rPr>
                <w:rFonts w:ascii="Calibri" w:hAnsi="Calibri"/>
                <w:sz w:val="22"/>
              </w:rPr>
              <w:t>Not on 10b5-1 plan; 27,398 shares remaining; modest relative to holdings; sold within days of Q1 earnings blackout lift</w:t>
            </w:r>
          </w:p>
        </w:tc>
      </w:tr>
    </w:tbl>
    <w:p>
      <w:r>
        <w:rPr>
          <w:rFonts w:ascii="Calibri" w:hAnsi="Calibri"/>
          <w:i/>
          <w:color w:val="525866"/>
          <w:sz w:val="22"/>
        </w:rPr>
        <w:t>No open-market buys were recorded in the period since Q1 earnings. Both sales occurred within days of the Q1 2026 earnings release (May 6), which is a common window for executives to sell after a blackout period lifts. Neither sale is on a 10b5-1 plan, which warrants monitoring, but the sizes are modest relative to remaining holdings and do not appear to signal a material change in insider conviction. No clustered buying activity to flag as a positive signal. Source: SEC Form 4 Filings.</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