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Marriott International (MAR)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Marriott International, Inc.</w:t>
            </w:r>
          </w:p>
        </w:tc>
      </w:tr>
      <w:tr>
        <w:tc>
          <w:tcPr>
            <w:tcW w:type="dxa" w:w="4320"/>
          </w:tcPr>
          <w:p>
            <w:r>
              <w:rPr>
                <w:rFonts w:ascii="Calibri" w:hAnsi="Calibri"/>
                <w:b/>
                <w:sz w:val="22"/>
              </w:rPr>
              <w:t>Ticker</w:t>
            </w:r>
          </w:p>
        </w:tc>
        <w:tc>
          <w:tcPr>
            <w:tcW w:type="dxa" w:w="4320"/>
          </w:tcPr>
          <w:p>
            <w:r>
              <w:rPr>
                <w:rFonts w:ascii="Calibri" w:hAnsi="Calibri"/>
                <w:sz w:val="22"/>
              </w:rPr>
              <w:t>MAR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Call Date</w:t>
            </w:r>
          </w:p>
        </w:tc>
        <w:tc>
          <w:tcPr>
            <w:tcW w:type="dxa" w:w="4320"/>
          </w:tcPr>
          <w:p>
            <w:r>
              <w:rPr>
                <w:rFonts w:ascii="Calibri" w:hAnsi="Calibri"/>
                <w:sz w:val="22"/>
              </w:rPr>
              <w:t>August 3, 2026 at 8:30 AM ET</w:t>
            </w:r>
          </w:p>
        </w:tc>
      </w:tr>
      <w:tr>
        <w:tc>
          <w:tcPr>
            <w:tcW w:type="dxa" w:w="4320"/>
          </w:tcPr>
          <w:p>
            <w:r>
              <w:rPr>
                <w:rFonts w:ascii="Calibri" w:hAnsi="Calibri"/>
                <w:b/>
                <w:sz w:val="22"/>
              </w:rPr>
              <w:t>Last Earnings Date</w:t>
            </w:r>
          </w:p>
        </w:tc>
        <w:tc>
          <w:tcPr>
            <w:tcW w:type="dxa" w:w="4320"/>
          </w:tcPr>
          <w:p>
            <w:r>
              <w:rPr>
                <w:rFonts w:ascii="Calibri" w:hAnsi="Calibri"/>
                <w:sz w:val="22"/>
              </w:rPr>
              <w:t>May 6, 2026 (Q1 2026)</w:t>
            </w:r>
          </w:p>
        </w:tc>
      </w:tr>
      <w:tr>
        <w:tc>
          <w:tcPr>
            <w:tcW w:type="dxa" w:w="4320"/>
          </w:tcPr>
          <w:p>
            <w:r>
              <w:rPr>
                <w:rFonts w:ascii="Calibri" w:hAnsi="Calibri"/>
                <w:b/>
                <w:sz w:val="22"/>
              </w:rPr>
              <w:t>Prepared</w:t>
            </w:r>
          </w:p>
        </w:tc>
        <w:tc>
          <w:tcPr>
            <w:tcW w:type="dxa" w:w="4320"/>
          </w:tcPr>
          <w:p>
            <w:r>
              <w:rPr>
                <w:rFonts w:ascii="Calibri" w:hAnsi="Calibri"/>
                <w:sz w:val="22"/>
              </w:rPr>
              <w:t>August 2, 2026</w:t>
            </w:r>
          </w:p>
        </w:tc>
      </w:tr>
      <w:tr>
        <w:tc>
          <w:tcPr>
            <w:tcW w:type="dxa" w:w="4320"/>
          </w:tcPr>
          <w:p>
            <w:r>
              <w:rPr>
                <w:rFonts w:ascii="Calibri" w:hAnsi="Calibri"/>
                <w:b/>
                <w:sz w:val="22"/>
              </w:rPr>
              <w:t>Primary Valuation Metric</w:t>
            </w:r>
          </w:p>
        </w:tc>
        <w:tc>
          <w:tcPr>
            <w:tcW w:type="dxa" w:w="4320"/>
          </w:tcPr>
          <w:p>
            <w:r>
              <w:rPr>
                <w:rFonts w:ascii="Calibri" w:hAnsi="Calibri"/>
                <w:sz w:val="22"/>
              </w:rPr>
              <w:t>EV/EBITDA (NTM 18.7x as of July 31, 2026)</w:t>
            </w:r>
          </w:p>
        </w:tc>
      </w:tr>
    </w:tbl>
    <w:p>
      <w:r>
        <w:br w:type="page"/>
      </w:r>
    </w:p>
    <w:p>
      <w:pPr>
        <w:pStyle w:val="Heading1"/>
        <w:pBdr>
          <w:bottom w:val="single" w:sz="4" w:space="1" w:color="FB9120"/>
        </w:pBdr>
      </w:pPr>
      <w:r>
        <w:rPr>
          <w:rFonts w:ascii="Calibri" w:hAnsi="Calibri"/>
          <w:b/>
          <w:color w:val="3B4259"/>
          <w:sz w:val="40"/>
        </w:rPr>
        <w:t>1. Earnings Preview</w:t>
      </w:r>
    </w:p>
    <w:p>
      <w:r>
        <w:rPr>
          <w:rFonts w:ascii="Calibri" w:hAnsi="Calibri"/>
          <w:b/>
          <w:color w:val="525866"/>
          <w:sz w:val="22"/>
        </w:rPr>
        <w:t xml:space="preserve">Key Takeaway: </w:t>
      </w:r>
      <w:r>
        <w:rPr>
          <w:rFonts w:ascii="Calibri" w:hAnsi="Calibri"/>
          <w:color w:val="525866"/>
          <w:sz w:val="22"/>
        </w:rPr>
        <w:t>The setup into Q2 is a moderate beat, with consensus sitting at the low end of MAR’s own guidance range and the World Cup providing a measurable Q2 tailwind; the biggest swing factor is whether Middle East RevPAR deterioration was worse or better than the guided ~50% decline.</w:t>
      </w:r>
    </w:p>
    <w:p>
      <w:r>
        <w:rPr>
          <w:rFonts w:ascii="Calibri" w:hAnsi="Calibri"/>
          <w:color w:val="525866"/>
          <w:sz w:val="22"/>
        </w:rPr>
        <w:t xml:space="preserve">Heading into the August 3 print, the bar for Marriott looks achievable but not easy. Consensus Adjusted EPS of ~$3.09 sits just above the midpoint of management’s $2.99–$3.06 guidance range, and Adjusted EBITDA consensus of ~$1.551B is at the top of the $1.525–$1.550B guided range — leaving limited room for upside on the headline unless RevPAR surprises to the upside. </w:t>
      </w:r>
      <w:r>
        <w:rPr>
          <w:rFonts w:ascii="Calibri" w:hAnsi="Calibri"/>
          <w:b/>
          <w:color w:val="525866"/>
          <w:sz w:val="22"/>
        </w:rPr>
        <w:t>Management guided Q2 global RevPAR growth of 1.5%–2.5%</w:t>
      </w:r>
      <w:r>
        <w:rPr>
          <w:rFonts w:ascii="Calibri" w:hAnsi="Calibri"/>
          <w:color w:val="525866"/>
          <w:sz w:val="22"/>
        </w:rPr>
        <w:t xml:space="preserve">, a wide range that reflects genuine uncertainty around the Middle East, where Q2 RevPAR was guided down ~50% (UAE, Qatar, Saudi Arabia occupancies below 50% in April). The CFO confirmed at the June 1 Morgan Stanley conference that April global RevPAR came in just over +1% YoY — in line with expectations — and that May Middle East declines were less severe than April, suggesting the Q2 Middle East assumption may prove conservative. </w:t>
      </w:r>
      <w:r>
        <w:rPr>
          <w:rFonts w:ascii="Calibri" w:hAnsi="Calibri"/>
          <w:b/>
          <w:color w:val="525866"/>
          <w:sz w:val="22"/>
        </w:rPr>
        <w:t>Estimate revisions have been essentially flat since the Q1 print</w:t>
      </w:r>
      <w:r>
        <w:rPr>
          <w:rFonts w:ascii="Calibri" w:hAnsi="Calibri"/>
          <w:color w:val="525866"/>
          <w:sz w:val="22"/>
        </w:rPr>
        <w:t xml:space="preserve"> (EPS consensus moved from ~$3.06 to ~$3.09 post-earnings), indicating the Street has largely digested the guidance and is not pricing in incremental upside. The stock has rallied ~3.8% since the May 6 earnings date (vs. SPY +1.8%), with the move driven almost entirely by multiple expansion (NTM EV/EBITDA expanded from ~17.4x to ~18.7x over six months) rather than estimate revisions, suggesting the stock is pricing in execution rather than a beat. The </w:t>
      </w:r>
      <w:r>
        <w:rPr>
          <w:rFonts w:ascii="Calibri" w:hAnsi="Calibri"/>
          <w:b/>
          <w:color w:val="525866"/>
          <w:sz w:val="22"/>
        </w:rPr>
        <w:t>key wildcard is the credit card renewal</w:t>
      </w:r>
      <w:r>
        <w:rPr>
          <w:rFonts w:ascii="Calibri" w:hAnsi="Calibri"/>
          <w:color w:val="525866"/>
          <w:sz w:val="22"/>
        </w:rPr>
        <w:t>: management has guided that new Chase/Amex/Visa deals are expected “later this year” and are excluded from current guidance — any update on timing or economics on the August 3 call could be a meaningful positive catalyst.</w:t>
      </w:r>
    </w:p>
    <w:p>
      <w:r>
        <w:br w:type="page"/>
      </w:r>
    </w:p>
    <w:p>
      <w:pPr>
        <w:pStyle w:val="Heading1"/>
        <w:pBdr>
          <w:bottom w:val="single" w:sz="4" w:space="1" w:color="FB9120"/>
        </w:pBdr>
      </w:pPr>
      <w:r>
        <w:rPr>
          <w:rFonts w:ascii="Calibri" w:hAnsi="Calibri"/>
          <w:b/>
          <w:color w:val="3B4259"/>
          <w:sz w:val="40"/>
        </w:rPr>
        <w:t>2. KPIs &amp; Consensus Expectations</w:t>
      </w:r>
    </w:p>
    <w:p>
      <w:r>
        <w:rPr>
          <w:rFonts w:ascii="Calibri" w:hAnsi="Calibri"/>
          <w:b/>
          <w:color w:val="525866"/>
          <w:sz w:val="22"/>
        </w:rPr>
        <w:t xml:space="preserve">Key Takeaway: </w:t>
      </w:r>
      <w:r>
        <w:rPr>
          <w:rFonts w:ascii="Calibri" w:hAnsi="Calibri"/>
          <w:color w:val="525866"/>
          <w:sz w:val="22"/>
        </w:rPr>
        <w:t xml:space="preserve">Consensus sits at the top of management’s EBITDA guidance range and just above the EPS midpoint — a modestly high bar on profitability. </w:t>
      </w:r>
      <w:r>
        <w:rPr>
          <w:rFonts w:ascii="Calibri" w:hAnsi="Calibri"/>
          <w:b/>
          <w:color w:val="525866"/>
          <w:sz w:val="22"/>
        </w:rPr>
        <w:t>System-wide RevPAR growth is the bigger swing factor</w:t>
      </w:r>
      <w:r>
        <w:rPr>
          <w:rFonts w:ascii="Calibri" w:hAnsi="Calibri"/>
          <w:color w:val="525866"/>
          <w:sz w:val="22"/>
        </w:rPr>
        <w:t>: consensus at ~2.0% sits in the middle of the 1.5%–2.5% guided range, and any Middle East improvement vs. the ~50% decline assumption could push the print to the high end.</w:t>
      </w:r>
    </w:p>
    <w:p>
      <w:pPr>
        <w:pStyle w:val="Heading2"/>
      </w:pPr>
      <w:r>
        <w:rPr>
          <w:rFonts w:ascii="Calibri" w:hAnsi="Calibri"/>
          <w:b/>
          <w:color w:val="3B4259"/>
          <w:sz w:val="28"/>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 Period)</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Q2 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Adjusted EPS — Diluted ($)</w:t>
            </w:r>
          </w:p>
        </w:tc>
        <w:tc>
          <w:tcPr>
            <w:tcW w:type="dxa" w:w="1234"/>
          </w:tcPr>
          <w:p>
            <w:r>
              <w:rPr>
                <w:rFonts w:ascii="Calibri" w:hAnsi="Calibri"/>
                <w:sz w:val="22"/>
              </w:rPr>
              <w:t>$2.72</w:t>
            </w:r>
          </w:p>
        </w:tc>
        <w:tc>
          <w:tcPr>
            <w:tcW w:type="dxa" w:w="1234"/>
          </w:tcPr>
          <w:p>
            <w:r>
              <w:rPr>
                <w:rFonts w:ascii="Calibri" w:hAnsi="Calibri"/>
                <w:sz w:val="22"/>
              </w:rPr>
              <w:t>$2.65</w:t>
            </w:r>
          </w:p>
        </w:tc>
        <w:tc>
          <w:tcPr>
            <w:tcW w:type="dxa" w:w="1234"/>
          </w:tcPr>
          <w:p>
            <w:r>
              <w:rPr>
                <w:rFonts w:ascii="Calibri" w:hAnsi="Calibri"/>
                <w:sz w:val="22"/>
              </w:rPr>
              <w:t>$3.09</w:t>
            </w:r>
          </w:p>
        </w:tc>
        <w:tc>
          <w:tcPr>
            <w:tcW w:type="dxa" w:w="1234"/>
          </w:tcPr>
          <w:p>
            <w:r>
              <w:rPr>
                <w:rFonts w:ascii="Calibri" w:hAnsi="Calibri"/>
                <w:sz w:val="22"/>
              </w:rPr>
              <w:t>+16.6%</w:t>
            </w:r>
          </w:p>
        </w:tc>
        <w:tc>
          <w:tcPr>
            <w:tcW w:type="dxa" w:w="1234"/>
          </w:tcPr>
          <w:p>
            <w:r>
              <w:rPr>
                <w:rFonts w:ascii="Calibri" w:hAnsi="Calibri"/>
                <w:sz w:val="22"/>
              </w:rPr>
              <w:t>$2.99–$3.06</w:t>
            </w:r>
          </w:p>
        </w:tc>
        <w:tc>
          <w:tcPr>
            <w:tcW w:type="dxa" w:w="1234"/>
          </w:tcPr>
          <w:p>
            <w:r>
              <w:rPr>
                <w:rFonts w:ascii="Calibri" w:hAnsi="Calibri"/>
                <w:sz w:val="22"/>
              </w:rPr>
              <w:t>+1.6% above midpoint</w:t>
            </w:r>
          </w:p>
        </w:tc>
      </w:tr>
      <w:tr>
        <w:tc>
          <w:tcPr>
            <w:tcW w:type="dxa" w:w="1234"/>
          </w:tcPr>
          <w:p>
            <w:r>
              <w:rPr>
                <w:rFonts w:ascii="Calibri" w:hAnsi="Calibri"/>
                <w:sz w:val="22"/>
              </w:rPr>
              <w:t>Adjusted EBITDA ($M)</w:t>
            </w:r>
          </w:p>
        </w:tc>
        <w:tc>
          <w:tcPr>
            <w:tcW w:type="dxa" w:w="1234"/>
          </w:tcPr>
          <w:p>
            <w:r>
              <w:rPr>
                <w:rFonts w:ascii="Calibri" w:hAnsi="Calibri"/>
                <w:sz w:val="22"/>
              </w:rPr>
              <w:t>$1,398M</w:t>
            </w:r>
          </w:p>
        </w:tc>
        <w:tc>
          <w:tcPr>
            <w:tcW w:type="dxa" w:w="1234"/>
          </w:tcPr>
          <w:p>
            <w:r>
              <w:rPr>
                <w:rFonts w:ascii="Calibri" w:hAnsi="Calibri"/>
                <w:sz w:val="22"/>
              </w:rPr>
              <w:t>$1,415M</w:t>
            </w:r>
          </w:p>
        </w:tc>
        <w:tc>
          <w:tcPr>
            <w:tcW w:type="dxa" w:w="1234"/>
          </w:tcPr>
          <w:p>
            <w:r>
              <w:rPr>
                <w:rFonts w:ascii="Calibri" w:hAnsi="Calibri"/>
                <w:sz w:val="22"/>
              </w:rPr>
              <w:t>$1,551M</w:t>
            </w:r>
          </w:p>
        </w:tc>
        <w:tc>
          <w:tcPr>
            <w:tcW w:type="dxa" w:w="1234"/>
          </w:tcPr>
          <w:p>
            <w:r>
              <w:rPr>
                <w:rFonts w:ascii="Calibri" w:hAnsi="Calibri"/>
                <w:sz w:val="22"/>
              </w:rPr>
              <w:t>+9.6%</w:t>
            </w:r>
          </w:p>
        </w:tc>
        <w:tc>
          <w:tcPr>
            <w:tcW w:type="dxa" w:w="1234"/>
          </w:tcPr>
          <w:p>
            <w:r>
              <w:rPr>
                <w:rFonts w:ascii="Calibri" w:hAnsi="Calibri"/>
                <w:sz w:val="22"/>
              </w:rPr>
              <w:t>$1,525–$1,550M</w:t>
            </w:r>
          </w:p>
        </w:tc>
        <w:tc>
          <w:tcPr>
            <w:tcW w:type="dxa" w:w="1234"/>
          </w:tcPr>
          <w:p>
            <w:r>
              <w:rPr>
                <w:rFonts w:ascii="Calibri" w:hAnsi="Calibri"/>
                <w:sz w:val="22"/>
              </w:rPr>
              <w:t>+0.1% above top of range</w:t>
            </w:r>
          </w:p>
        </w:tc>
      </w:tr>
      <w:tr>
        <w:tc>
          <w:tcPr>
            <w:tcW w:type="dxa" w:w="1234"/>
          </w:tcPr>
          <w:p>
            <w:r>
              <w:rPr>
                <w:rFonts w:ascii="Calibri" w:hAnsi="Calibri"/>
                <w:sz w:val="22"/>
              </w:rPr>
              <w:t>Gross Fee Revenues ($M)</w:t>
            </w:r>
          </w:p>
        </w:tc>
        <w:tc>
          <w:tcPr>
            <w:tcW w:type="dxa" w:w="1234"/>
          </w:tcPr>
          <w:p>
            <w:r>
              <w:rPr>
                <w:rFonts w:ascii="Calibri" w:hAnsi="Calibri"/>
                <w:sz w:val="22"/>
              </w:rPr>
              <w:t>$1,433M</w:t>
            </w:r>
          </w:p>
        </w:tc>
        <w:tc>
          <w:tcPr>
            <w:tcW w:type="dxa" w:w="1234"/>
          </w:tcPr>
          <w:p>
            <w:r>
              <w:rPr>
                <w:rFonts w:ascii="Calibri" w:hAnsi="Calibri"/>
                <w:sz w:val="22"/>
              </w:rPr>
              <w:t>$1,400M</w:t>
            </w:r>
          </w:p>
        </w:tc>
        <w:tc>
          <w:tcPr>
            <w:tcW w:type="dxa" w:w="1234"/>
          </w:tcPr>
          <w:p>
            <w:r>
              <w:rPr>
                <w:rFonts w:ascii="Calibri" w:hAnsi="Calibri"/>
                <w:sz w:val="22"/>
              </w:rPr>
              <w:t>$1,555M</w:t>
            </w:r>
          </w:p>
        </w:tc>
        <w:tc>
          <w:tcPr>
            <w:tcW w:type="dxa" w:w="1234"/>
          </w:tcPr>
          <w:p>
            <w:r>
              <w:rPr>
                <w:rFonts w:ascii="Calibri" w:hAnsi="Calibri"/>
                <w:sz w:val="22"/>
              </w:rPr>
              <w:t>+11.0%</w:t>
            </w:r>
          </w:p>
        </w:tc>
        <w:tc>
          <w:tcPr>
            <w:tcW w:type="dxa" w:w="1234"/>
          </w:tcPr>
          <w:p>
            <w:r>
              <w:rPr>
                <w:rFonts w:ascii="Calibri" w:hAnsi="Calibri"/>
                <w:sz w:val="22"/>
              </w:rPr>
              <w:t>$1,538–$1,553M</w:t>
            </w:r>
          </w:p>
        </w:tc>
        <w:tc>
          <w:tcPr>
            <w:tcW w:type="dxa" w:w="1234"/>
          </w:tcPr>
          <w:p>
            <w:r>
              <w:rPr>
                <w:rFonts w:ascii="Calibri" w:hAnsi="Calibri"/>
                <w:sz w:val="22"/>
              </w:rPr>
              <w:t>+0.8% above midpoint</w:t>
            </w:r>
          </w:p>
        </w:tc>
      </w:tr>
      <w:tr>
        <w:tc>
          <w:tcPr>
            <w:tcW w:type="dxa" w:w="1234"/>
          </w:tcPr>
          <w:p>
            <w:r>
              <w:rPr>
                <w:rFonts w:ascii="Calibri" w:hAnsi="Calibri"/>
                <w:sz w:val="22"/>
              </w:rPr>
              <w:t>System-wide RevPAR Growth (%)</w:t>
            </w:r>
          </w:p>
        </w:tc>
        <w:tc>
          <w:tcPr>
            <w:tcW w:type="dxa" w:w="1234"/>
          </w:tcPr>
          <w:p>
            <w:r>
              <w:rPr>
                <w:rFonts w:ascii="Calibri" w:hAnsi="Calibri"/>
                <w:sz w:val="22"/>
              </w:rPr>
              <w:t>+3.1%</w:t>
            </w:r>
          </w:p>
        </w:tc>
        <w:tc>
          <w:tcPr>
            <w:tcW w:type="dxa" w:w="1234"/>
          </w:tcPr>
          <w:p>
            <w:r>
              <w:rPr>
                <w:rFonts w:ascii="Calibri" w:hAnsi="Calibri"/>
                <w:sz w:val="22"/>
              </w:rPr>
              <w:t>+0.4%</w:t>
            </w:r>
          </w:p>
        </w:tc>
        <w:tc>
          <w:tcPr>
            <w:tcW w:type="dxa" w:w="1234"/>
          </w:tcPr>
          <w:p>
            <w:r>
              <w:rPr>
                <w:rFonts w:ascii="Calibri" w:hAnsi="Calibri"/>
                <w:sz w:val="22"/>
              </w:rPr>
              <w:t>~+2.0%</w:t>
            </w:r>
          </w:p>
        </w:tc>
        <w:tc>
          <w:tcPr>
            <w:tcW w:type="dxa" w:w="1234"/>
          </w:tcPr>
          <w:p>
            <w:r>
              <w:rPr>
                <w:rFonts w:ascii="Calibri" w:hAnsi="Calibri"/>
                <w:sz w:val="22"/>
              </w:rPr>
              <w:t>+160 bps vs. PY</w:t>
            </w:r>
          </w:p>
        </w:tc>
        <w:tc>
          <w:tcPr>
            <w:tcW w:type="dxa" w:w="1234"/>
          </w:tcPr>
          <w:p>
            <w:r>
              <w:rPr>
                <w:rFonts w:ascii="Calibri" w:hAnsi="Calibri"/>
                <w:sz w:val="22"/>
              </w:rPr>
              <w:t>+1.5% to +2.5%</w:t>
            </w:r>
          </w:p>
        </w:tc>
        <w:tc>
          <w:tcPr>
            <w:tcW w:type="dxa" w:w="1234"/>
          </w:tcPr>
          <w:p>
            <w:r>
              <w:rPr>
                <w:rFonts w:ascii="Calibri" w:hAnsi="Calibri"/>
                <w:sz w:val="22"/>
              </w:rPr>
              <w:t>At midpoint of range</w:t>
            </w:r>
          </w:p>
        </w:tc>
      </w:tr>
      <w:tr>
        <w:tc>
          <w:tcPr>
            <w:tcW w:type="dxa" w:w="1234"/>
          </w:tcPr>
          <w:p>
            <w:r>
              <w:rPr>
                <w:rFonts w:ascii="Calibri" w:hAnsi="Calibri"/>
                <w:sz w:val="22"/>
              </w:rPr>
              <w:t>Total Rooms (End of Period, #)</w:t>
            </w:r>
          </w:p>
        </w:tc>
        <w:tc>
          <w:tcPr>
            <w:tcW w:type="dxa" w:w="1234"/>
          </w:tcPr>
          <w:p>
            <w:r>
              <w:rPr>
                <w:rFonts w:ascii="Calibri" w:hAnsi="Calibri"/>
                <w:sz w:val="22"/>
              </w:rPr>
              <w:t>1,795,810</w:t>
            </w:r>
          </w:p>
        </w:tc>
        <w:tc>
          <w:tcPr>
            <w:tcW w:type="dxa" w:w="1234"/>
          </w:tcPr>
          <w:p>
            <w:r>
              <w:rPr>
                <w:rFonts w:ascii="Calibri" w:hAnsi="Calibri"/>
                <w:sz w:val="22"/>
              </w:rPr>
              <w:t>1,735,820</w:t>
            </w:r>
          </w:p>
        </w:tc>
        <w:tc>
          <w:tcPr>
            <w:tcW w:type="dxa" w:w="1234"/>
          </w:tcPr>
          <w:p>
            <w:r>
              <w:rPr>
                <w:rFonts w:ascii="Calibri" w:hAnsi="Calibri"/>
                <w:sz w:val="22"/>
              </w:rPr>
              <w:t>~1,817,530</w:t>
            </w:r>
          </w:p>
        </w:tc>
        <w:tc>
          <w:tcPr>
            <w:tcW w:type="dxa" w:w="1234"/>
          </w:tcPr>
          <w:p>
            <w:r>
              <w:rPr>
                <w:rFonts w:ascii="Calibri" w:hAnsi="Calibri"/>
                <w:sz w:val="22"/>
              </w:rPr>
              <w:t>+4.7% YoY</w:t>
            </w:r>
          </w:p>
        </w:tc>
        <w:tc>
          <w:tcPr>
            <w:tcW w:type="dxa" w:w="1234"/>
          </w:tcPr>
          <w:p>
            <w:r>
              <w:rPr>
                <w:rFonts w:ascii="Calibri" w:hAnsi="Calibri"/>
                <w:sz w:val="22"/>
              </w:rPr>
              <w:t>Net rooms growth 4.5%–5.0% FY</w:t>
            </w:r>
          </w:p>
        </w:tc>
        <w:tc>
          <w:tcPr>
            <w:tcW w:type="dxa" w:w="1234"/>
          </w:tcPr>
          <w:p>
            <w:r>
              <w:rPr>
                <w:rFonts w:ascii="Calibri" w:hAnsi="Calibri"/>
                <w:sz w:val="22"/>
              </w:rPr>
              <w:t>In line with FY guidance pace</w:t>
            </w:r>
          </w:p>
        </w:tc>
      </w:tr>
    </w:tbl>
    <w:p>
      <w:r>
        <w:rPr>
          <w:rFonts w:ascii="Calibri" w:hAnsi="Calibri"/>
          <w:i/>
          <w:color w:val="525866"/>
          <w:sz w:val="22"/>
        </w:rPr>
        <w:t>Sources: Visible Alpha Consensus and Actuals Data (EPS-Diluted - Operating, Adjusted EBITDA, Gross fees, System-wide RevPAR Growth, Total rooms); MAR Q1 2026 Earnings Release (May 6, 2026) for Q2 2026 guidance ranges. Consensus estimates as of August 1, 2026.</w:t>
      </w:r>
    </w:p>
    <w:p>
      <w:pPr>
        <w:pStyle w:val="Heading2"/>
      </w:pPr>
      <w:r>
        <w:rPr>
          <w:rFonts w:ascii="Calibri" w:hAnsi="Calibri"/>
          <w:b/>
          <w:color w:val="3B4259"/>
          <w:sz w:val="28"/>
        </w:rPr>
        <w:t>Table 2 — Beat/Miss History: Last 8 Quarters (Top 2 KPIs: Adjusted EPS &amp; Adjusted 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Adj. EPS</w:t>
            </w:r>
          </w:p>
        </w:tc>
        <w:tc>
          <w:tcPr>
            <w:tcW w:type="dxa" w:w="1440"/>
          </w:tcPr>
          <w:p>
            <w:r>
              <w:rPr>
                <w:rFonts w:ascii="Calibri" w:hAnsi="Calibri"/>
                <w:sz w:val="22"/>
              </w:rPr>
              <w:t>$2.72</w:t>
            </w:r>
          </w:p>
        </w:tc>
        <w:tc>
          <w:tcPr>
            <w:tcW w:type="dxa" w:w="1440"/>
          </w:tcPr>
          <w:p>
            <w:r>
              <w:rPr>
                <w:rFonts w:ascii="Calibri" w:hAnsi="Calibri"/>
                <w:sz w:val="22"/>
              </w:rPr>
              <w:t>$2.56</w:t>
            </w:r>
          </w:p>
        </w:tc>
        <w:tc>
          <w:tcPr>
            <w:tcW w:type="dxa" w:w="1440"/>
          </w:tcPr>
          <w:p>
            <w:r>
              <w:rPr>
                <w:rFonts w:ascii="Calibri" w:hAnsi="Calibri"/>
                <w:b/>
                <w:color w:val="30A46C"/>
                <w:sz w:val="22"/>
              </w:rPr>
              <w:t>+6.3%</w:t>
            </w:r>
          </w:p>
        </w:tc>
        <w:tc>
          <w:tcPr>
            <w:tcW w:type="dxa" w:w="1440"/>
          </w:tcPr>
          <w:p>
            <w:r>
              <w:rPr>
                <w:rFonts w:ascii="Calibri" w:hAnsi="Calibri"/>
                <w:sz w:val="22"/>
              </w:rPr>
              <w:t>Beat</w:t>
            </w:r>
          </w:p>
        </w:tc>
      </w:tr>
      <w:tr>
        <w:tc>
          <w:tcPr>
            <w:tcW w:type="dxa" w:w="1440"/>
          </w:tcPr>
          <w:p>
            <w:r>
              <w:rPr>
                <w:rFonts w:ascii="Calibri" w:hAnsi="Calibri"/>
                <w:sz w:val="22"/>
              </w:rPr>
              <w:t>Q1 2026</w:t>
            </w:r>
          </w:p>
        </w:tc>
        <w:tc>
          <w:tcPr>
            <w:tcW w:type="dxa" w:w="1440"/>
          </w:tcPr>
          <w:p>
            <w:r>
              <w:rPr>
                <w:rFonts w:ascii="Calibri" w:hAnsi="Calibri"/>
                <w:sz w:val="22"/>
              </w:rPr>
              <w:t>Adj. EBITDA</w:t>
            </w:r>
          </w:p>
        </w:tc>
        <w:tc>
          <w:tcPr>
            <w:tcW w:type="dxa" w:w="1440"/>
          </w:tcPr>
          <w:p>
            <w:r>
              <w:rPr>
                <w:rFonts w:ascii="Calibri" w:hAnsi="Calibri"/>
                <w:sz w:val="22"/>
              </w:rPr>
              <w:t>$1,398M</w:t>
            </w:r>
          </w:p>
        </w:tc>
        <w:tc>
          <w:tcPr>
            <w:tcW w:type="dxa" w:w="1440"/>
          </w:tcPr>
          <w:p>
            <w:r>
              <w:rPr>
                <w:rFonts w:ascii="Calibri" w:hAnsi="Calibri"/>
                <w:sz w:val="22"/>
              </w:rPr>
              <w:t>$1,324M</w:t>
            </w:r>
          </w:p>
        </w:tc>
        <w:tc>
          <w:tcPr>
            <w:tcW w:type="dxa" w:w="1440"/>
          </w:tcPr>
          <w:p>
            <w:r>
              <w:rPr>
                <w:rFonts w:ascii="Calibri" w:hAnsi="Calibri"/>
                <w:b/>
                <w:color w:val="30A46C"/>
                <w:sz w:val="22"/>
              </w:rPr>
              <w:t>+5.6%</w:t>
            </w:r>
          </w:p>
        </w:tc>
        <w:tc>
          <w:tcPr>
            <w:tcW w:type="dxa" w:w="1440"/>
          </w:tcPr>
          <w:p>
            <w:r>
              <w:rPr>
                <w:rFonts w:ascii="Calibri" w:hAnsi="Calibri"/>
                <w:sz w:val="22"/>
              </w:rPr>
              <w:t>Beat</w:t>
            </w:r>
          </w:p>
        </w:tc>
      </w:tr>
      <w:tr>
        <w:tc>
          <w:tcPr>
            <w:tcW w:type="dxa" w:w="1440"/>
          </w:tcPr>
          <w:p>
            <w:r>
              <w:rPr>
                <w:rFonts w:ascii="Calibri" w:hAnsi="Calibri"/>
                <w:sz w:val="22"/>
              </w:rPr>
              <w:t>Q4 2025</w:t>
            </w:r>
          </w:p>
        </w:tc>
        <w:tc>
          <w:tcPr>
            <w:tcW w:type="dxa" w:w="1440"/>
          </w:tcPr>
          <w:p>
            <w:r>
              <w:rPr>
                <w:rFonts w:ascii="Calibri" w:hAnsi="Calibri"/>
                <w:sz w:val="22"/>
              </w:rPr>
              <w:t>Adj. EPS</w:t>
            </w:r>
          </w:p>
        </w:tc>
        <w:tc>
          <w:tcPr>
            <w:tcW w:type="dxa" w:w="1440"/>
          </w:tcPr>
          <w:p>
            <w:r>
              <w:rPr>
                <w:rFonts w:ascii="Calibri" w:hAnsi="Calibri"/>
                <w:sz w:val="22"/>
              </w:rPr>
              <w:t>$2.58</w:t>
            </w:r>
          </w:p>
        </w:tc>
        <w:tc>
          <w:tcPr>
            <w:tcW w:type="dxa" w:w="1440"/>
          </w:tcPr>
          <w:p>
            <w:r>
              <w:rPr>
                <w:rFonts w:ascii="Calibri" w:hAnsi="Calibri"/>
                <w:sz w:val="22"/>
              </w:rPr>
              <w:t>$2.63</w:t>
            </w:r>
          </w:p>
        </w:tc>
        <w:tc>
          <w:tcPr>
            <w:tcW w:type="dxa" w:w="1440"/>
          </w:tcPr>
          <w:p>
            <w:r>
              <w:rPr>
                <w:rFonts w:ascii="Calibri" w:hAnsi="Calibri"/>
                <w:b/>
                <w:color w:val="E5484D"/>
                <w:sz w:val="22"/>
              </w:rPr>
              <w:t>−2.0%</w:t>
            </w:r>
          </w:p>
        </w:tc>
        <w:tc>
          <w:tcPr>
            <w:tcW w:type="dxa" w:w="1440"/>
          </w:tcPr>
          <w:p>
            <w:r>
              <w:rPr>
                <w:rFonts w:ascii="Calibri" w:hAnsi="Calibri"/>
                <w:sz w:val="22"/>
              </w:rPr>
              <w:t>Miss</w:t>
            </w:r>
          </w:p>
        </w:tc>
      </w:tr>
      <w:tr>
        <w:tc>
          <w:tcPr>
            <w:tcW w:type="dxa" w:w="1440"/>
          </w:tcPr>
          <w:p>
            <w:r>
              <w:rPr>
                <w:rFonts w:ascii="Calibri" w:hAnsi="Calibri"/>
                <w:sz w:val="22"/>
              </w:rPr>
              <w:t>Q4 2025</w:t>
            </w:r>
          </w:p>
        </w:tc>
        <w:tc>
          <w:tcPr>
            <w:tcW w:type="dxa" w:w="1440"/>
          </w:tcPr>
          <w:p>
            <w:r>
              <w:rPr>
                <w:rFonts w:ascii="Calibri" w:hAnsi="Calibri"/>
                <w:sz w:val="22"/>
              </w:rPr>
              <w:t>Adj. EBITDA</w:t>
            </w:r>
          </w:p>
        </w:tc>
        <w:tc>
          <w:tcPr>
            <w:tcW w:type="dxa" w:w="1440"/>
          </w:tcPr>
          <w:p>
            <w:r>
              <w:rPr>
                <w:rFonts w:ascii="Calibri" w:hAnsi="Calibri"/>
                <w:sz w:val="22"/>
              </w:rPr>
              <w:t>$1,402M</w:t>
            </w:r>
          </w:p>
        </w:tc>
        <w:tc>
          <w:tcPr>
            <w:tcW w:type="dxa" w:w="1440"/>
          </w:tcPr>
          <w:p>
            <w:r>
              <w:rPr>
                <w:rFonts w:ascii="Calibri" w:hAnsi="Calibri"/>
                <w:sz w:val="22"/>
              </w:rPr>
              <w:t>$1,390M</w:t>
            </w:r>
          </w:p>
        </w:tc>
        <w:tc>
          <w:tcPr>
            <w:tcW w:type="dxa" w:w="1440"/>
          </w:tcPr>
          <w:p>
            <w:r>
              <w:rPr>
                <w:rFonts w:ascii="Calibri" w:hAnsi="Calibri"/>
                <w:b/>
                <w:color w:val="30A46C"/>
                <w:sz w:val="22"/>
              </w:rPr>
              <w:t>+0.9%</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EPS</w:t>
            </w:r>
          </w:p>
        </w:tc>
        <w:tc>
          <w:tcPr>
            <w:tcW w:type="dxa" w:w="1440"/>
          </w:tcPr>
          <w:p>
            <w:r>
              <w:rPr>
                <w:rFonts w:ascii="Calibri" w:hAnsi="Calibri"/>
                <w:sz w:val="22"/>
              </w:rPr>
              <w:t>$2.47</w:t>
            </w:r>
          </w:p>
        </w:tc>
        <w:tc>
          <w:tcPr>
            <w:tcW w:type="dxa" w:w="1440"/>
          </w:tcPr>
          <w:p>
            <w:r>
              <w:rPr>
                <w:rFonts w:ascii="Calibri" w:hAnsi="Calibri"/>
                <w:sz w:val="22"/>
              </w:rPr>
              <w:t>$2.39</w:t>
            </w:r>
          </w:p>
        </w:tc>
        <w:tc>
          <w:tcPr>
            <w:tcW w:type="dxa" w:w="1440"/>
          </w:tcPr>
          <w:p>
            <w:r>
              <w:rPr>
                <w:rFonts w:ascii="Calibri" w:hAnsi="Calibri"/>
                <w:b/>
                <w:color w:val="30A46C"/>
                <w:sz w:val="22"/>
              </w:rPr>
              <w:t>+3.3%</w:t>
            </w:r>
          </w:p>
        </w:tc>
        <w:tc>
          <w:tcPr>
            <w:tcW w:type="dxa" w:w="1440"/>
          </w:tcPr>
          <w:p>
            <w:r>
              <w:rPr>
                <w:rFonts w:ascii="Calibri" w:hAnsi="Calibri"/>
                <w:sz w:val="22"/>
              </w:rPr>
              <w:t>Beat</w:t>
            </w:r>
          </w:p>
        </w:tc>
      </w:tr>
      <w:tr>
        <w:tc>
          <w:tcPr>
            <w:tcW w:type="dxa" w:w="1440"/>
          </w:tcPr>
          <w:p>
            <w:r>
              <w:rPr>
                <w:rFonts w:ascii="Calibri" w:hAnsi="Calibri"/>
                <w:sz w:val="22"/>
              </w:rPr>
              <w:t>Q3 2025</w:t>
            </w:r>
          </w:p>
        </w:tc>
        <w:tc>
          <w:tcPr>
            <w:tcW w:type="dxa" w:w="1440"/>
          </w:tcPr>
          <w:p>
            <w:r>
              <w:rPr>
                <w:rFonts w:ascii="Calibri" w:hAnsi="Calibri"/>
                <w:sz w:val="22"/>
              </w:rPr>
              <w:t>Adj. EBITDA</w:t>
            </w:r>
          </w:p>
        </w:tc>
        <w:tc>
          <w:tcPr>
            <w:tcW w:type="dxa" w:w="1440"/>
          </w:tcPr>
          <w:p>
            <w:r>
              <w:rPr>
                <w:rFonts w:ascii="Calibri" w:hAnsi="Calibri"/>
                <w:sz w:val="22"/>
              </w:rPr>
              <w:t>$1,349M</w:t>
            </w:r>
          </w:p>
        </w:tc>
        <w:tc>
          <w:tcPr>
            <w:tcW w:type="dxa" w:w="1440"/>
          </w:tcPr>
          <w:p>
            <w:r>
              <w:rPr>
                <w:rFonts w:ascii="Calibri" w:hAnsi="Calibri"/>
                <w:sz w:val="22"/>
              </w:rPr>
              <w:t>$1,311M</w:t>
            </w:r>
          </w:p>
        </w:tc>
        <w:tc>
          <w:tcPr>
            <w:tcW w:type="dxa" w:w="1440"/>
          </w:tcPr>
          <w:p>
            <w:r>
              <w:rPr>
                <w:rFonts w:ascii="Calibri" w:hAnsi="Calibri"/>
                <w:b/>
                <w:color w:val="30A46C"/>
                <w:sz w:val="22"/>
              </w:rPr>
              <w:t>+2.9%</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EPS</w:t>
            </w:r>
          </w:p>
        </w:tc>
        <w:tc>
          <w:tcPr>
            <w:tcW w:type="dxa" w:w="1440"/>
          </w:tcPr>
          <w:p>
            <w:r>
              <w:rPr>
                <w:rFonts w:ascii="Calibri" w:hAnsi="Calibri"/>
                <w:sz w:val="22"/>
              </w:rPr>
              <w:t>$2.65</w:t>
            </w:r>
          </w:p>
        </w:tc>
        <w:tc>
          <w:tcPr>
            <w:tcW w:type="dxa" w:w="1440"/>
          </w:tcPr>
          <w:p>
            <w:r>
              <w:rPr>
                <w:rFonts w:ascii="Calibri" w:hAnsi="Calibri"/>
                <w:sz w:val="22"/>
              </w:rPr>
              <w:t>$2.63</w:t>
            </w:r>
          </w:p>
        </w:tc>
        <w:tc>
          <w:tcPr>
            <w:tcW w:type="dxa" w:w="1440"/>
          </w:tcPr>
          <w:p>
            <w:r>
              <w:rPr>
                <w:rFonts w:ascii="Calibri" w:hAnsi="Calibri"/>
                <w:b/>
                <w:color w:val="30A46C"/>
                <w:sz w:val="22"/>
              </w:rPr>
              <w:t>+0.8%</w:t>
            </w:r>
          </w:p>
        </w:tc>
        <w:tc>
          <w:tcPr>
            <w:tcW w:type="dxa" w:w="1440"/>
          </w:tcPr>
          <w:p>
            <w:r>
              <w:rPr>
                <w:rFonts w:ascii="Calibri" w:hAnsi="Calibri"/>
                <w:sz w:val="22"/>
              </w:rPr>
              <w:t>Beat</w:t>
            </w:r>
          </w:p>
        </w:tc>
      </w:tr>
      <w:tr>
        <w:tc>
          <w:tcPr>
            <w:tcW w:type="dxa" w:w="1440"/>
          </w:tcPr>
          <w:p>
            <w:r>
              <w:rPr>
                <w:rFonts w:ascii="Calibri" w:hAnsi="Calibri"/>
                <w:sz w:val="22"/>
              </w:rPr>
              <w:t>Q2 2025</w:t>
            </w:r>
          </w:p>
        </w:tc>
        <w:tc>
          <w:tcPr>
            <w:tcW w:type="dxa" w:w="1440"/>
          </w:tcPr>
          <w:p>
            <w:r>
              <w:rPr>
                <w:rFonts w:ascii="Calibri" w:hAnsi="Calibri"/>
                <w:sz w:val="22"/>
              </w:rPr>
              <w:t>Adj. EBITDA</w:t>
            </w:r>
          </w:p>
        </w:tc>
        <w:tc>
          <w:tcPr>
            <w:tcW w:type="dxa" w:w="1440"/>
          </w:tcPr>
          <w:p>
            <w:r>
              <w:rPr>
                <w:rFonts w:ascii="Calibri" w:hAnsi="Calibri"/>
                <w:sz w:val="22"/>
              </w:rPr>
              <w:t>$1,415M</w:t>
            </w:r>
          </w:p>
        </w:tc>
        <w:tc>
          <w:tcPr>
            <w:tcW w:type="dxa" w:w="1440"/>
          </w:tcPr>
          <w:p>
            <w:r>
              <w:rPr>
                <w:rFonts w:ascii="Calibri" w:hAnsi="Calibri"/>
                <w:sz w:val="22"/>
              </w:rPr>
              <w:t>$1,385M</w:t>
            </w:r>
          </w:p>
        </w:tc>
        <w:tc>
          <w:tcPr>
            <w:tcW w:type="dxa" w:w="1440"/>
          </w:tcPr>
          <w:p>
            <w:r>
              <w:rPr>
                <w:rFonts w:ascii="Calibri" w:hAnsi="Calibri"/>
                <w:b/>
                <w:color w:val="30A46C"/>
                <w:sz w:val="22"/>
              </w:rPr>
              <w:t>+2.2%</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EPS</w:t>
            </w:r>
          </w:p>
        </w:tc>
        <w:tc>
          <w:tcPr>
            <w:tcW w:type="dxa" w:w="1440"/>
          </w:tcPr>
          <w:p>
            <w:r>
              <w:rPr>
                <w:rFonts w:ascii="Calibri" w:hAnsi="Calibri"/>
                <w:sz w:val="22"/>
              </w:rPr>
              <w:t>$2.32</w:t>
            </w:r>
          </w:p>
        </w:tc>
        <w:tc>
          <w:tcPr>
            <w:tcW w:type="dxa" w:w="1440"/>
          </w:tcPr>
          <w:p>
            <w:r>
              <w:rPr>
                <w:rFonts w:ascii="Calibri" w:hAnsi="Calibri"/>
                <w:sz w:val="22"/>
              </w:rPr>
              <w:t>$2.25</w:t>
            </w:r>
          </w:p>
        </w:tc>
        <w:tc>
          <w:tcPr>
            <w:tcW w:type="dxa" w:w="1440"/>
          </w:tcPr>
          <w:p>
            <w:r>
              <w:rPr>
                <w:rFonts w:ascii="Calibri" w:hAnsi="Calibri"/>
                <w:b/>
                <w:color w:val="30A46C"/>
                <w:sz w:val="22"/>
              </w:rPr>
              <w:t>+3.1%</w:t>
            </w:r>
          </w:p>
        </w:tc>
        <w:tc>
          <w:tcPr>
            <w:tcW w:type="dxa" w:w="1440"/>
          </w:tcPr>
          <w:p>
            <w:r>
              <w:rPr>
                <w:rFonts w:ascii="Calibri" w:hAnsi="Calibri"/>
                <w:sz w:val="22"/>
              </w:rPr>
              <w:t>Beat</w:t>
            </w:r>
          </w:p>
        </w:tc>
      </w:tr>
      <w:tr>
        <w:tc>
          <w:tcPr>
            <w:tcW w:type="dxa" w:w="1440"/>
          </w:tcPr>
          <w:p>
            <w:r>
              <w:rPr>
                <w:rFonts w:ascii="Calibri" w:hAnsi="Calibri"/>
                <w:sz w:val="22"/>
              </w:rPr>
              <w:t>Q1 2025</w:t>
            </w:r>
          </w:p>
        </w:tc>
        <w:tc>
          <w:tcPr>
            <w:tcW w:type="dxa" w:w="1440"/>
          </w:tcPr>
          <w:p>
            <w:r>
              <w:rPr>
                <w:rFonts w:ascii="Calibri" w:hAnsi="Calibri"/>
                <w:sz w:val="22"/>
              </w:rPr>
              <w:t>Adj. EBITDA</w:t>
            </w:r>
          </w:p>
        </w:tc>
        <w:tc>
          <w:tcPr>
            <w:tcW w:type="dxa" w:w="1440"/>
          </w:tcPr>
          <w:p>
            <w:r>
              <w:rPr>
                <w:rFonts w:ascii="Calibri" w:hAnsi="Calibri"/>
                <w:sz w:val="22"/>
              </w:rPr>
              <w:t>$1,217M</w:t>
            </w:r>
          </w:p>
        </w:tc>
        <w:tc>
          <w:tcPr>
            <w:tcW w:type="dxa" w:w="1440"/>
          </w:tcPr>
          <w:p>
            <w:r>
              <w:rPr>
                <w:rFonts w:ascii="Calibri" w:hAnsi="Calibri"/>
                <w:sz w:val="22"/>
              </w:rPr>
              <w:t>$1,185M</w:t>
            </w:r>
          </w:p>
        </w:tc>
        <w:tc>
          <w:tcPr>
            <w:tcW w:type="dxa" w:w="1440"/>
          </w:tcPr>
          <w:p>
            <w:r>
              <w:rPr>
                <w:rFonts w:ascii="Calibri" w:hAnsi="Calibri"/>
                <w:b/>
                <w:color w:val="30A46C"/>
                <w:sz w:val="22"/>
              </w:rPr>
              <w:t>+2.7%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EPS</w:t>
            </w:r>
          </w:p>
        </w:tc>
        <w:tc>
          <w:tcPr>
            <w:tcW w:type="dxa" w:w="1440"/>
          </w:tcPr>
          <w:p>
            <w:r>
              <w:rPr>
                <w:rFonts w:ascii="Calibri" w:hAnsi="Calibri"/>
                <w:sz w:val="22"/>
              </w:rPr>
              <w:t>$2.45</w:t>
            </w:r>
          </w:p>
        </w:tc>
        <w:tc>
          <w:tcPr>
            <w:tcW w:type="dxa" w:w="1440"/>
          </w:tcPr>
          <w:p>
            <w:r>
              <w:rPr>
                <w:rFonts w:ascii="Calibri" w:hAnsi="Calibri"/>
                <w:sz w:val="22"/>
              </w:rPr>
              <w:t>$2.41</w:t>
            </w:r>
          </w:p>
        </w:tc>
        <w:tc>
          <w:tcPr>
            <w:tcW w:type="dxa" w:w="1440"/>
          </w:tcPr>
          <w:p>
            <w:r>
              <w:rPr>
                <w:rFonts w:ascii="Calibri" w:hAnsi="Calibri"/>
                <w:b/>
                <w:color w:val="30A46C"/>
                <w:sz w:val="22"/>
              </w:rPr>
              <w:t>+1.7%</w:t>
            </w:r>
          </w:p>
        </w:tc>
        <w:tc>
          <w:tcPr>
            <w:tcW w:type="dxa" w:w="1440"/>
          </w:tcPr>
          <w:p>
            <w:r>
              <w:rPr>
                <w:rFonts w:ascii="Calibri" w:hAnsi="Calibri"/>
                <w:sz w:val="22"/>
              </w:rPr>
              <w:t>Beat</w:t>
            </w:r>
          </w:p>
        </w:tc>
      </w:tr>
      <w:tr>
        <w:tc>
          <w:tcPr>
            <w:tcW w:type="dxa" w:w="1440"/>
          </w:tcPr>
          <w:p>
            <w:r>
              <w:rPr>
                <w:rFonts w:ascii="Calibri" w:hAnsi="Calibri"/>
                <w:sz w:val="22"/>
              </w:rPr>
              <w:t>Q4 2024</w:t>
            </w:r>
          </w:p>
        </w:tc>
        <w:tc>
          <w:tcPr>
            <w:tcW w:type="dxa" w:w="1440"/>
          </w:tcPr>
          <w:p>
            <w:r>
              <w:rPr>
                <w:rFonts w:ascii="Calibri" w:hAnsi="Calibri"/>
                <w:sz w:val="22"/>
              </w:rPr>
              <w:t>Adj. EBITDA</w:t>
            </w:r>
          </w:p>
        </w:tc>
        <w:tc>
          <w:tcPr>
            <w:tcW w:type="dxa" w:w="1440"/>
          </w:tcPr>
          <w:p>
            <w:r>
              <w:rPr>
                <w:rFonts w:ascii="Calibri" w:hAnsi="Calibri"/>
                <w:sz w:val="22"/>
              </w:rPr>
              <w:t>$1,286M</w:t>
            </w:r>
          </w:p>
        </w:tc>
        <w:tc>
          <w:tcPr>
            <w:tcW w:type="dxa" w:w="1440"/>
          </w:tcPr>
          <w:p>
            <w:r>
              <w:rPr>
                <w:rFonts w:ascii="Calibri" w:hAnsi="Calibri"/>
                <w:sz w:val="22"/>
              </w:rPr>
              <w:t>$1,260M</w:t>
            </w:r>
          </w:p>
        </w:tc>
        <w:tc>
          <w:tcPr>
            <w:tcW w:type="dxa" w:w="1440"/>
          </w:tcPr>
          <w:p>
            <w:r>
              <w:rPr>
                <w:rFonts w:ascii="Calibri" w:hAnsi="Calibri"/>
                <w:b/>
                <w:color w:val="30A46C"/>
                <w:sz w:val="22"/>
              </w:rPr>
              <w:t>+2.1%</w:t>
            </w:r>
          </w:p>
        </w:tc>
        <w:tc>
          <w:tcPr>
            <w:tcW w:type="dxa" w:w="1440"/>
          </w:tcPr>
          <w:p>
            <w:r>
              <w:rPr>
                <w:rFonts w:ascii="Calibri" w:hAnsi="Calibri"/>
                <w:sz w:val="22"/>
              </w:rPr>
              <w:t>Beat</w:t>
            </w:r>
          </w:p>
        </w:tc>
      </w:tr>
      <w:tr>
        <w:tc>
          <w:tcPr>
            <w:tcW w:type="dxa" w:w="1440"/>
          </w:tcPr>
          <w:p>
            <w:r>
              <w:rPr>
                <w:rFonts w:ascii="Calibri" w:hAnsi="Calibri"/>
                <w:sz w:val="22"/>
              </w:rPr>
              <w:t>Q3 2024</w:t>
            </w:r>
          </w:p>
        </w:tc>
        <w:tc>
          <w:tcPr>
            <w:tcW w:type="dxa" w:w="1440"/>
          </w:tcPr>
          <w:p>
            <w:r>
              <w:rPr>
                <w:rFonts w:ascii="Calibri" w:hAnsi="Calibri"/>
                <w:sz w:val="22"/>
              </w:rPr>
              <w:t>Adj. EPS</w:t>
            </w:r>
          </w:p>
        </w:tc>
        <w:tc>
          <w:tcPr>
            <w:tcW w:type="dxa" w:w="1440"/>
          </w:tcPr>
          <w:p>
            <w:r>
              <w:rPr>
                <w:rFonts w:ascii="Calibri" w:hAnsi="Calibri"/>
                <w:sz w:val="22"/>
              </w:rPr>
              <w:t>$2.26</w:t>
            </w:r>
          </w:p>
        </w:tc>
        <w:tc>
          <w:tcPr>
            <w:tcW w:type="dxa" w:w="1440"/>
          </w:tcPr>
          <w:p>
            <w:r>
              <w:rPr>
                <w:rFonts w:ascii="Calibri" w:hAnsi="Calibri"/>
                <w:sz w:val="22"/>
              </w:rPr>
              <w:t>$2.31</w:t>
            </w:r>
          </w:p>
        </w:tc>
        <w:tc>
          <w:tcPr>
            <w:tcW w:type="dxa" w:w="1440"/>
          </w:tcPr>
          <w:p>
            <w:r>
              <w:rPr>
                <w:rFonts w:ascii="Calibri" w:hAnsi="Calibri"/>
                <w:b/>
                <w:color w:val="E5484D"/>
                <w:sz w:val="22"/>
              </w:rPr>
              <w:t>−2.2%</w:t>
            </w:r>
          </w:p>
        </w:tc>
        <w:tc>
          <w:tcPr>
            <w:tcW w:type="dxa" w:w="1440"/>
          </w:tcPr>
          <w:p>
            <w:r>
              <w:rPr>
                <w:rFonts w:ascii="Calibri" w:hAnsi="Calibri"/>
                <w:sz w:val="22"/>
              </w:rPr>
              <w:t>Miss</w:t>
            </w:r>
          </w:p>
        </w:tc>
      </w:tr>
      <w:tr>
        <w:tc>
          <w:tcPr>
            <w:tcW w:type="dxa" w:w="1440"/>
          </w:tcPr>
          <w:p>
            <w:r>
              <w:rPr>
                <w:rFonts w:ascii="Calibri" w:hAnsi="Calibri"/>
                <w:sz w:val="22"/>
              </w:rPr>
              <w:t>Q3 2024</w:t>
            </w:r>
          </w:p>
        </w:tc>
        <w:tc>
          <w:tcPr>
            <w:tcW w:type="dxa" w:w="1440"/>
          </w:tcPr>
          <w:p>
            <w:r>
              <w:rPr>
                <w:rFonts w:ascii="Calibri" w:hAnsi="Calibri"/>
                <w:sz w:val="22"/>
              </w:rPr>
              <w:t>Adj. EBITDA</w:t>
            </w:r>
          </w:p>
        </w:tc>
        <w:tc>
          <w:tcPr>
            <w:tcW w:type="dxa" w:w="1440"/>
          </w:tcPr>
          <w:p>
            <w:r>
              <w:rPr>
                <w:rFonts w:ascii="Calibri" w:hAnsi="Calibri"/>
                <w:sz w:val="22"/>
              </w:rPr>
              <w:t>$1,229M</w:t>
            </w:r>
          </w:p>
        </w:tc>
        <w:tc>
          <w:tcPr>
            <w:tcW w:type="dxa" w:w="1440"/>
          </w:tcPr>
          <w:p>
            <w:r>
              <w:rPr>
                <w:rFonts w:ascii="Calibri" w:hAnsi="Calibri"/>
                <w:sz w:val="22"/>
              </w:rPr>
              <w:t>$1,241M</w:t>
            </w:r>
          </w:p>
        </w:tc>
        <w:tc>
          <w:tcPr>
            <w:tcW w:type="dxa" w:w="1440"/>
          </w:tcPr>
          <w:p>
            <w:r>
              <w:rPr>
                <w:rFonts w:ascii="Calibri" w:hAnsi="Calibri"/>
                <w:b/>
                <w:color w:val="E5484D"/>
                <w:sz w:val="22"/>
              </w:rPr>
              <w:t>−1.0%</w:t>
            </w:r>
          </w:p>
        </w:tc>
        <w:tc>
          <w:tcPr>
            <w:tcW w:type="dxa" w:w="1440"/>
          </w:tcPr>
          <w:p>
            <w:r>
              <w:rPr>
                <w:rFonts w:ascii="Calibri" w:hAnsi="Calibri"/>
                <w:sz w:val="22"/>
              </w:rPr>
              <w:t>Miss</w:t>
            </w:r>
          </w:p>
        </w:tc>
      </w:tr>
    </w:tbl>
    <w:p>
      <w:r>
        <w:rPr>
          <w:rFonts w:ascii="Calibri" w:hAnsi="Calibri"/>
          <w:b/>
          <w:color w:val="525866"/>
          <w:sz w:val="22"/>
        </w:rPr>
        <w:t xml:space="preserve">Pattern: </w:t>
      </w:r>
      <w:r>
        <w:rPr>
          <w:rFonts w:ascii="Calibri" w:hAnsi="Calibri"/>
          <w:color w:val="525866"/>
          <w:sz w:val="22"/>
        </w:rPr>
        <w:t>MAR has beaten Adjusted EBITDA consensus in 6 of the last 8 quarters and Adjusted EPS in 6 of 8, with the two misses (Q3 2024 and Q4 2025 EPS) both modest (−2.2% and −2.0%); the beat pattern is consistent but the magnitude has been shrinking, suggesting the Street has gotten better at calibrating the bar.</w:t>
      </w:r>
    </w:p>
    <w:p>
      <w:r>
        <w:rPr>
          <w:rFonts w:ascii="Calibri" w:hAnsi="Calibri"/>
          <w:i/>
          <w:color w:val="525866"/>
          <w:sz w:val="22"/>
        </w:rPr>
        <w:t>Source: Visible Alpha Consensus and Actuals Data.</w:t>
      </w:r>
    </w:p>
    <w:p>
      <w:r>
        <w:br w:type="page"/>
      </w:r>
    </w:p>
    <w:p>
      <w:pPr>
        <w:pStyle w:val="Heading1"/>
        <w:pBdr>
          <w:bottom w:val="single" w:sz="4" w:space="1" w:color="FB9120"/>
        </w:pBdr>
      </w:pPr>
      <w:r>
        <w:rPr>
          <w:rFonts w:ascii="Calibri" w:hAnsi="Calibri"/>
          <w:b/>
          <w:color w:val="3B4259"/>
          <w:sz w:val="40"/>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has been unchanged since the May 6 Q1 earnings call — the June 1 Morgan Stanley conference explicitly reaffirmed Q2 RevPAR of 1.5%–2.5% and full-year of 2%–3%. </w:t>
      </w:r>
      <w:r>
        <w:rPr>
          <w:rFonts w:ascii="Calibri" w:hAnsi="Calibri"/>
          <w:b/>
          <w:color w:val="525866"/>
          <w:sz w:val="22"/>
        </w:rPr>
        <w:t>Tone is cautiously confident</w:t>
      </w:r>
      <w:r>
        <w:rPr>
          <w:rFonts w:ascii="Calibri" w:hAnsi="Calibri"/>
          <w:color w:val="525866"/>
          <w:sz w:val="22"/>
        </w:rPr>
        <w:t>: management is monitoring back-half consumer health and oil price drag, but has not signaled any deterioration in the core demand environment.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(May 6, 2026 Q1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Global RevPAR Growth</w:t>
            </w:r>
          </w:p>
        </w:tc>
        <w:tc>
          <w:tcPr>
            <w:tcW w:type="dxa" w:w="1728"/>
          </w:tcPr>
          <w:p>
            <w:r>
              <w:rPr>
                <w:rFonts w:ascii="Calibri" w:hAnsi="Calibri"/>
                <w:sz w:val="22"/>
              </w:rPr>
              <w:t>+1.5% to +2.5%</w:t>
            </w:r>
          </w:p>
        </w:tc>
        <w:tc>
          <w:tcPr>
            <w:tcW w:type="dxa" w:w="1728"/>
          </w:tcPr>
          <w:p>
            <w:r>
              <w:rPr>
                <w:rFonts w:ascii="Calibri" w:hAnsi="Calibri"/>
                <w:sz w:val="22"/>
              </w:rPr>
              <w:t>—</w:t>
            </w:r>
          </w:p>
        </w:tc>
        <w:tc>
          <w:tcPr>
            <w:tcW w:type="dxa" w:w="1728"/>
          </w:tcPr>
          <w:p>
            <w:r>
              <w:rPr>
                <w:rFonts w:ascii="Calibri" w:hAnsi="Calibri"/>
                <w:sz w:val="22"/>
              </w:rPr>
              <w:t>~+2.0%</w:t>
            </w:r>
          </w:p>
        </w:tc>
        <w:tc>
          <w:tcPr>
            <w:tcW w:type="dxa" w:w="1728"/>
          </w:tcPr>
          <w:p>
            <w:r>
              <w:rPr>
                <w:rFonts w:ascii="Calibri" w:hAnsi="Calibri"/>
                <w:sz w:val="22"/>
              </w:rPr>
              <w:t>Reaffirmed at Morgan Stanley Conference June 1, 2026; April actual of +1.1% in line with expectations; May Middle East less severe than April</w:t>
            </w:r>
          </w:p>
        </w:tc>
      </w:tr>
      <w:tr>
        <w:tc>
          <w:tcPr>
            <w:tcW w:type="dxa" w:w="1728"/>
          </w:tcPr>
          <w:p>
            <w:r>
              <w:rPr>
                <w:rFonts w:ascii="Calibri" w:hAnsi="Calibri"/>
                <w:sz w:val="22"/>
              </w:rPr>
              <w:t>Q2 2026 Gross Fee Revenues</w:t>
            </w:r>
          </w:p>
        </w:tc>
        <w:tc>
          <w:tcPr>
            <w:tcW w:type="dxa" w:w="1728"/>
          </w:tcPr>
          <w:p>
            <w:r>
              <w:rPr>
                <w:rFonts w:ascii="Calibri" w:hAnsi="Calibri"/>
                <w:sz w:val="22"/>
              </w:rPr>
              <w:t>$1,538–$1,553M</w:t>
            </w:r>
          </w:p>
        </w:tc>
        <w:tc>
          <w:tcPr>
            <w:tcW w:type="dxa" w:w="1728"/>
          </w:tcPr>
          <w:p>
            <w:r>
              <w:rPr>
                <w:rFonts w:ascii="Calibri" w:hAnsi="Calibri"/>
                <w:sz w:val="22"/>
              </w:rPr>
              <w:t>—</w:t>
            </w:r>
          </w:p>
        </w:tc>
        <w:tc>
          <w:tcPr>
            <w:tcW w:type="dxa" w:w="1728"/>
          </w:tcPr>
          <w:p>
            <w:r>
              <w:rPr>
                <w:rFonts w:ascii="Calibri" w:hAnsi="Calibri"/>
                <w:sz w:val="22"/>
              </w:rPr>
              <w:t>$1,555M</w:t>
            </w:r>
          </w:p>
        </w:tc>
        <w:tc>
          <w:tcPr>
            <w:tcW w:type="dxa" w:w="1728"/>
          </w:tcPr>
          <w:p>
            <w:r>
              <w:rPr>
                <w:rFonts w:ascii="Calibri" w:hAnsi="Calibri"/>
                <w:sz w:val="22"/>
              </w:rPr>
              <w:t>Unchanged; consensus at top of range</w:t>
            </w:r>
          </w:p>
        </w:tc>
      </w:tr>
      <w:tr>
        <w:tc>
          <w:tcPr>
            <w:tcW w:type="dxa" w:w="1728"/>
          </w:tcPr>
          <w:p>
            <w:r>
              <w:rPr>
                <w:rFonts w:ascii="Calibri" w:hAnsi="Calibri"/>
                <w:sz w:val="22"/>
              </w:rPr>
              <w:t>Q2 2026 Adjusted EBITDA</w:t>
            </w:r>
          </w:p>
        </w:tc>
        <w:tc>
          <w:tcPr>
            <w:tcW w:type="dxa" w:w="1728"/>
          </w:tcPr>
          <w:p>
            <w:r>
              <w:rPr>
                <w:rFonts w:ascii="Calibri" w:hAnsi="Calibri"/>
                <w:sz w:val="22"/>
              </w:rPr>
              <w:t>$1,525–$1,550M (+8% to +10% YoY)</w:t>
            </w:r>
          </w:p>
        </w:tc>
        <w:tc>
          <w:tcPr>
            <w:tcW w:type="dxa" w:w="1728"/>
          </w:tcPr>
          <w:p>
            <w:r>
              <w:rPr>
                <w:rFonts w:ascii="Calibri" w:hAnsi="Calibri"/>
                <w:sz w:val="22"/>
              </w:rPr>
              <w:t>—</w:t>
            </w:r>
          </w:p>
        </w:tc>
        <w:tc>
          <w:tcPr>
            <w:tcW w:type="dxa" w:w="1728"/>
          </w:tcPr>
          <w:p>
            <w:r>
              <w:rPr>
                <w:rFonts w:ascii="Calibri" w:hAnsi="Calibri"/>
                <w:sz w:val="22"/>
              </w:rPr>
              <w:t>$1,551M</w:t>
            </w:r>
          </w:p>
        </w:tc>
        <w:tc>
          <w:tcPr>
            <w:tcW w:type="dxa" w:w="1728"/>
          </w:tcPr>
          <w:p>
            <w:r>
              <w:rPr>
                <w:rFonts w:ascii="Calibri" w:hAnsi="Calibri"/>
                <w:sz w:val="22"/>
              </w:rPr>
              <w:t>Unchanged; consensus fractionally above top of range</w:t>
            </w:r>
          </w:p>
        </w:tc>
      </w:tr>
      <w:tr>
        <w:tc>
          <w:tcPr>
            <w:tcW w:type="dxa" w:w="1728"/>
          </w:tcPr>
          <w:p>
            <w:r>
              <w:rPr>
                <w:rFonts w:ascii="Calibri" w:hAnsi="Calibri"/>
                <w:sz w:val="22"/>
              </w:rPr>
              <w:t>Q2 2026 Adjusted EPS — Diluted</w:t>
            </w:r>
          </w:p>
        </w:tc>
        <w:tc>
          <w:tcPr>
            <w:tcW w:type="dxa" w:w="1728"/>
          </w:tcPr>
          <w:p>
            <w:r>
              <w:rPr>
                <w:rFonts w:ascii="Calibri" w:hAnsi="Calibri"/>
                <w:sz w:val="22"/>
              </w:rPr>
              <w:t>$2.99–$3.06</w:t>
            </w:r>
          </w:p>
        </w:tc>
        <w:tc>
          <w:tcPr>
            <w:tcW w:type="dxa" w:w="1728"/>
          </w:tcPr>
          <w:p>
            <w:r>
              <w:rPr>
                <w:rFonts w:ascii="Calibri" w:hAnsi="Calibri"/>
                <w:sz w:val="22"/>
              </w:rPr>
              <w:t>—</w:t>
            </w:r>
          </w:p>
        </w:tc>
        <w:tc>
          <w:tcPr>
            <w:tcW w:type="dxa" w:w="1728"/>
          </w:tcPr>
          <w:p>
            <w:r>
              <w:rPr>
                <w:rFonts w:ascii="Calibri" w:hAnsi="Calibri"/>
                <w:sz w:val="22"/>
              </w:rPr>
              <w:t>$3.09</w:t>
            </w:r>
          </w:p>
        </w:tc>
        <w:tc>
          <w:tcPr>
            <w:tcW w:type="dxa" w:w="1728"/>
          </w:tcPr>
          <w:p>
            <w:r>
              <w:rPr>
                <w:rFonts w:ascii="Calibri" w:hAnsi="Calibri"/>
                <w:sz w:val="22"/>
              </w:rPr>
              <w:t>Unchanged; consensus above top of range, likely reflecting buyback pace</w:t>
            </w:r>
          </w:p>
        </w:tc>
      </w:tr>
      <w:tr>
        <w:tc>
          <w:tcPr>
            <w:tcW w:type="dxa" w:w="1728"/>
          </w:tcPr>
          <w:p>
            <w:r>
              <w:rPr>
                <w:rFonts w:ascii="Calibri" w:hAnsi="Calibri"/>
                <w:sz w:val="22"/>
              </w:rPr>
              <w:t>Q2 2026 Middle East RevPAR</w:t>
            </w:r>
          </w:p>
        </w:tc>
        <w:tc>
          <w:tcPr>
            <w:tcW w:type="dxa" w:w="1728"/>
          </w:tcPr>
          <w:p>
            <w:r>
              <w:rPr>
                <w:rFonts w:ascii="Calibri" w:hAnsi="Calibri"/>
                <w:sz w:val="22"/>
              </w:rPr>
              <w:t>~−50% YoY (hardest-hit quarter)</w:t>
            </w:r>
          </w:p>
        </w:tc>
        <w:tc>
          <w:tcPr>
            <w:tcW w:type="dxa" w:w="1728"/>
          </w:tcPr>
          <w:p>
            <w:r>
              <w:rPr>
                <w:rFonts w:ascii="Calibri" w:hAnsi="Calibri"/>
                <w:sz w:val="22"/>
              </w:rPr>
              <w:t>—</w:t>
            </w:r>
          </w:p>
        </w:tc>
        <w:tc>
          <w:tcPr>
            <w:tcW w:type="dxa" w:w="1728"/>
          </w:tcPr>
          <w:p>
            <w:r>
              <w:rPr>
                <w:rFonts w:ascii="Calibri" w:hAnsi="Calibri"/>
                <w:sz w:val="22"/>
              </w:rPr>
              <w:t>N/A (not separately tracked in consensus)</w:t>
            </w:r>
          </w:p>
        </w:tc>
        <w:tc>
          <w:tcPr>
            <w:tcW w:type="dxa" w:w="1728"/>
          </w:tcPr>
          <w:p>
            <w:r>
              <w:rPr>
                <w:rFonts w:ascii="Calibri" w:hAnsi="Calibri"/>
                <w:sz w:val="22"/>
              </w:rPr>
              <w:t>April actual: −60%; May improving; Q2 forecast of −50% reaffirmed June 1</w:t>
            </w:r>
          </w:p>
        </w:tc>
      </w:tr>
      <w:tr>
        <w:tc>
          <w:tcPr>
            <w:tcW w:type="dxa" w:w="1728"/>
          </w:tcPr>
          <w:p>
            <w:r>
              <w:rPr>
                <w:rFonts w:ascii="Calibri" w:hAnsi="Calibri"/>
                <w:sz w:val="22"/>
              </w:rPr>
              <w:t>FY 2026 Global RevPAR Growth</w:t>
            </w:r>
          </w:p>
        </w:tc>
        <w:tc>
          <w:tcPr>
            <w:tcW w:type="dxa" w:w="1728"/>
          </w:tcPr>
          <w:p>
            <w:r>
              <w:rPr>
                <w:rFonts w:ascii="Calibri" w:hAnsi="Calibri"/>
                <w:sz w:val="22"/>
              </w:rPr>
              <w:t>+2.0% to +3.0% (raised from +1.5%–2.5% at Q1)</w:t>
            </w:r>
          </w:p>
        </w:tc>
        <w:tc>
          <w:tcPr>
            <w:tcW w:type="dxa" w:w="1728"/>
          </w:tcPr>
          <w:p>
            <w:r>
              <w:rPr>
                <w:rFonts w:ascii="Calibri" w:hAnsi="Calibri"/>
                <w:sz w:val="22"/>
              </w:rPr>
              <w:t>—</w:t>
            </w:r>
          </w:p>
        </w:tc>
        <w:tc>
          <w:tcPr>
            <w:tcW w:type="dxa" w:w="1728"/>
          </w:tcPr>
          <w:p>
            <w:r>
              <w:rPr>
                <w:rFonts w:ascii="Calibri" w:hAnsi="Calibri"/>
                <w:sz w:val="22"/>
              </w:rPr>
              <w:t>~+2.5%</w:t>
            </w:r>
          </w:p>
        </w:tc>
        <w:tc>
          <w:tcPr>
            <w:tcW w:type="dxa" w:w="1728"/>
          </w:tcPr>
          <w:p>
            <w:r>
              <w:rPr>
                <w:rFonts w:ascii="Calibri" w:hAnsi="Calibri"/>
                <w:sz w:val="22"/>
              </w:rPr>
              <w:t>Reaffirmed June 1; back-half expected slightly below first-half but still positive; World Cup adds ~30–35 bps</w:t>
            </w:r>
          </w:p>
        </w:tc>
      </w:tr>
      <w:tr>
        <w:tc>
          <w:tcPr>
            <w:tcW w:type="dxa" w:w="1728"/>
          </w:tcPr>
          <w:p>
            <w:r>
              <w:rPr>
                <w:rFonts w:ascii="Calibri" w:hAnsi="Calibri"/>
                <w:sz w:val="22"/>
              </w:rPr>
              <w:t>FY 2026 Gross Fee Revenues</w:t>
            </w:r>
          </w:p>
        </w:tc>
        <w:tc>
          <w:tcPr>
            <w:tcW w:type="dxa" w:w="1728"/>
          </w:tcPr>
          <w:p>
            <w:r>
              <w:rPr>
                <w:rFonts w:ascii="Calibri" w:hAnsi="Calibri"/>
                <w:sz w:val="22"/>
              </w:rPr>
              <w:t>$5,925–$5,985M (+9% to +10% YoY)</w:t>
            </w:r>
          </w:p>
        </w:tc>
        <w:tc>
          <w:tcPr>
            <w:tcW w:type="dxa" w:w="1728"/>
          </w:tcPr>
          <w:p>
            <w:r>
              <w:rPr>
                <w:rFonts w:ascii="Calibri" w:hAnsi="Calibri"/>
                <w:sz w:val="22"/>
              </w:rPr>
              <w:t>—</w:t>
            </w:r>
          </w:p>
        </w:tc>
        <w:tc>
          <w:tcPr>
            <w:tcW w:type="dxa" w:w="1728"/>
          </w:tcPr>
          <w:p>
            <w:r>
              <w:rPr>
                <w:rFonts w:ascii="Calibri" w:hAnsi="Calibri"/>
                <w:sz w:val="22"/>
              </w:rPr>
              <w:t>$5,998M</w:t>
            </w:r>
          </w:p>
        </w:tc>
        <w:tc>
          <w:tcPr>
            <w:tcW w:type="dxa" w:w="1728"/>
          </w:tcPr>
          <w:p>
            <w:r>
              <w:rPr>
                <w:rFonts w:ascii="Calibri" w:hAnsi="Calibri"/>
                <w:sz w:val="22"/>
              </w:rPr>
              <w:t>Unchanged; consensus at top of range; credit card fees +~35% YoY (excl. new deal impact)</w:t>
            </w:r>
          </w:p>
        </w:tc>
      </w:tr>
      <w:tr>
        <w:tc>
          <w:tcPr>
            <w:tcW w:type="dxa" w:w="1728"/>
          </w:tcPr>
          <w:p>
            <w:r>
              <w:rPr>
                <w:rFonts w:ascii="Calibri" w:hAnsi="Calibri"/>
                <w:sz w:val="22"/>
              </w:rPr>
              <w:t>FY 2026 Adjusted EBITDA</w:t>
            </w:r>
          </w:p>
        </w:tc>
        <w:tc>
          <w:tcPr>
            <w:tcW w:type="dxa" w:w="1728"/>
          </w:tcPr>
          <w:p>
            <w:r>
              <w:rPr>
                <w:rFonts w:ascii="Calibri" w:hAnsi="Calibri"/>
                <w:sz w:val="22"/>
              </w:rPr>
              <w:t>$5,880–$5,970M (+9% to +11% YoY)</w:t>
            </w:r>
          </w:p>
        </w:tc>
        <w:tc>
          <w:tcPr>
            <w:tcW w:type="dxa" w:w="1728"/>
          </w:tcPr>
          <w:p>
            <w:r>
              <w:rPr>
                <w:rFonts w:ascii="Calibri" w:hAnsi="Calibri"/>
                <w:sz w:val="22"/>
              </w:rPr>
              <w:t>—</w:t>
            </w:r>
          </w:p>
        </w:tc>
        <w:tc>
          <w:tcPr>
            <w:tcW w:type="dxa" w:w="1728"/>
          </w:tcPr>
          <w:p>
            <w:r>
              <w:rPr>
                <w:rFonts w:ascii="Calibri" w:hAnsi="Calibri"/>
                <w:sz w:val="22"/>
              </w:rPr>
              <w:t>$5,970M</w:t>
            </w:r>
          </w:p>
        </w:tc>
        <w:tc>
          <w:tcPr>
            <w:tcW w:type="dxa" w:w="1728"/>
          </w:tcPr>
          <w:p>
            <w:r>
              <w:rPr>
                <w:rFonts w:ascii="Calibri" w:hAnsi="Calibri"/>
                <w:sz w:val="22"/>
              </w:rPr>
              <w:t>Unchanged; consensus at top of range</w:t>
            </w:r>
          </w:p>
        </w:tc>
      </w:tr>
      <w:tr>
        <w:tc>
          <w:tcPr>
            <w:tcW w:type="dxa" w:w="1728"/>
          </w:tcPr>
          <w:p>
            <w:r>
              <w:rPr>
                <w:rFonts w:ascii="Calibri" w:hAnsi="Calibri"/>
                <w:sz w:val="22"/>
              </w:rPr>
              <w:t>FY 2026 Adjusted EPS — Diluted</w:t>
            </w:r>
          </w:p>
        </w:tc>
        <w:tc>
          <w:tcPr>
            <w:tcW w:type="dxa" w:w="1728"/>
          </w:tcPr>
          <w:p>
            <w:r>
              <w:rPr>
                <w:rFonts w:ascii="Calibri" w:hAnsi="Calibri"/>
                <w:sz w:val="22"/>
              </w:rPr>
              <w:t>$11.38–$11.63 (+14% to +16% YoY)</w:t>
            </w:r>
          </w:p>
        </w:tc>
        <w:tc>
          <w:tcPr>
            <w:tcW w:type="dxa" w:w="1728"/>
          </w:tcPr>
          <w:p>
            <w:r>
              <w:rPr>
                <w:rFonts w:ascii="Calibri" w:hAnsi="Calibri"/>
                <w:sz w:val="22"/>
              </w:rPr>
              <w:t>—</w:t>
            </w:r>
          </w:p>
        </w:tc>
        <w:tc>
          <w:tcPr>
            <w:tcW w:type="dxa" w:w="1728"/>
          </w:tcPr>
          <w:p>
            <w:r>
              <w:rPr>
                <w:rFonts w:ascii="Calibri" w:hAnsi="Calibri"/>
                <w:sz w:val="22"/>
              </w:rPr>
              <w:t>$11.66</w:t>
            </w:r>
          </w:p>
        </w:tc>
        <w:tc>
          <w:tcPr>
            <w:tcW w:type="dxa" w:w="1728"/>
          </w:tcPr>
          <w:p>
            <w:r>
              <w:rPr>
                <w:rFonts w:ascii="Calibri" w:hAnsi="Calibri"/>
                <w:sz w:val="22"/>
              </w:rPr>
              <w:t>Unchanged; consensus above top of range; share buybacks ($4.4B+ return target) driving EPS above EBITDA growth</w:t>
            </w:r>
          </w:p>
        </w:tc>
      </w:tr>
      <w:tr>
        <w:tc>
          <w:tcPr>
            <w:tcW w:type="dxa" w:w="1728"/>
          </w:tcPr>
          <w:p>
            <w:r>
              <w:rPr>
                <w:rFonts w:ascii="Calibri" w:hAnsi="Calibri"/>
                <w:sz w:val="22"/>
              </w:rPr>
              <w:t>FY 2026 Net Rooms Growth</w:t>
            </w:r>
          </w:p>
        </w:tc>
        <w:tc>
          <w:tcPr>
            <w:tcW w:type="dxa" w:w="1728"/>
          </w:tcPr>
          <w:p>
            <w:r>
              <w:rPr>
                <w:rFonts w:ascii="Calibri" w:hAnsi="Calibri"/>
                <w:sz w:val="22"/>
              </w:rPr>
              <w:t>4.5%–5.0%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record pipeline of ~618K rooms; conversions ~35% of signings</w:t>
            </w:r>
          </w:p>
        </w:tc>
      </w:tr>
      <w:tr>
        <w:tc>
          <w:tcPr>
            <w:tcW w:type="dxa" w:w="1728"/>
          </w:tcPr>
          <w:p>
            <w:r>
              <w:rPr>
                <w:rFonts w:ascii="Calibri" w:hAnsi="Calibri"/>
                <w:sz w:val="22"/>
              </w:rPr>
              <w:t>U.S. Co-branded Credit Card Renewal</w:t>
            </w:r>
          </w:p>
        </w:tc>
        <w:tc>
          <w:tcPr>
            <w:tcW w:type="dxa" w:w="1728"/>
          </w:tcPr>
          <w:p>
            <w:r>
              <w:rPr>
                <w:rFonts w:ascii="Calibri" w:hAnsi="Calibri"/>
                <w:sz w:val="22"/>
              </w:rPr>
              <w:t>New deals expected later in 2026; excluded from guidance</w:t>
            </w:r>
          </w:p>
        </w:tc>
        <w:tc>
          <w:tcPr>
            <w:tcW w:type="dxa" w:w="1728"/>
          </w:tcPr>
          <w:p>
            <w:r>
              <w:rPr>
                <w:rFonts w:ascii="Calibri" w:hAnsi="Calibri"/>
                <w:sz w:val="22"/>
              </w:rPr>
              <w:t>—</w:t>
            </w:r>
          </w:p>
        </w:tc>
        <w:tc>
          <w:tcPr>
            <w:tcW w:type="dxa" w:w="1728"/>
          </w:tcPr>
          <w:p>
            <w:r>
              <w:rPr>
                <w:rFonts w:ascii="Calibri" w:hAnsi="Calibri"/>
                <w:sz w:val="22"/>
              </w:rPr>
              <w:t>N/A (excluded from consensus)</w:t>
            </w:r>
          </w:p>
        </w:tc>
        <w:tc>
          <w:tcPr>
            <w:tcW w:type="dxa" w:w="1728"/>
          </w:tcPr>
          <w:p>
            <w:r>
              <w:rPr>
                <w:rFonts w:ascii="Calibri" w:hAnsi="Calibri"/>
                <w:sz w:val="22"/>
              </w:rPr>
              <w:t>Discussions with Chase, Amex, Visa described as “going well”; full financial benefit after card relaunch; key upside catalyst</w:t>
            </w:r>
          </w:p>
        </w:tc>
      </w:tr>
    </w:tbl>
    <w:p>
      <w:r>
        <w:rPr>
          <w:rFonts w:ascii="Calibri" w:hAnsi="Calibri"/>
          <w:i/>
          <w:color w:val="525866"/>
          <w:sz w:val="22"/>
        </w:rPr>
        <w:t>Sources: MAR Q1 2026 Earnings Release and Transcript (May 6, 2026); MAR Morgan Stanley Travel &amp; Leisure Conference Transcript (June 1, 2026); Visible Alpha Consensus Data.</w:t>
      </w:r>
    </w:p>
    <w:p>
      <w:r>
        <w:br w:type="page"/>
      </w:r>
    </w:p>
    <w:p>
      <w:pPr>
        <w:pStyle w:val="Heading1"/>
        <w:pBdr>
          <w:bottom w:val="single" w:sz="4" w:space="1" w:color="FB9120"/>
        </w:pBdr>
      </w:pPr>
      <w:r>
        <w:rPr>
          <w:rFonts w:ascii="Calibri" w:hAnsi="Calibri"/>
          <w:b/>
          <w:color w:val="3B4259"/>
          <w:sz w:val="40"/>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the Q1 print — Q2 EPS consensus moved only +$0.03 and FY EPS only +$0.02 post-earnings, suggesting the Street has fully digested guidance. </w:t>
      </w:r>
      <w:r>
        <w:rPr>
          <w:rFonts w:ascii="Calibri" w:hAnsi="Calibri"/>
          <w:b/>
          <w:color w:val="525866"/>
          <w:sz w:val="22"/>
        </w:rPr>
        <w:t>The gap between consensus and guidance midpoints is narrow</w:t>
      </w:r>
      <w:r>
        <w:rPr>
          <w:rFonts w:ascii="Calibri" w:hAnsi="Calibri"/>
          <w:color w:val="525866"/>
          <w:sz w:val="22"/>
        </w:rPr>
        <w:t>, with consensus sitting at or just above the top of management’s ranges — a slight upward bias that reflects confidence in execution but leaves limited room for a positive surprise on the headline numbers.</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13, 2026)</w:t>
            </w:r>
          </w:p>
        </w:tc>
        <w:tc>
          <w:tcPr>
            <w:tcW w:type="dxa" w:w="1080"/>
            <w:shd w:val="clear" w:color="auto" w:fill="3B4259"/>
          </w:tcPr>
          <w:p>
            <w:r>
              <w:rPr>
                <w:rFonts w:ascii="Calibri" w:hAnsi="Calibri"/>
                <w:b/>
                <w:color w:val="FFFFFF"/>
                <w:sz w:val="22"/>
              </w:rPr>
              <w:t>Current Consensus (Aug 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(May 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Adj. EPS — Q2 2026</w:t>
            </w:r>
          </w:p>
        </w:tc>
        <w:tc>
          <w:tcPr>
            <w:tcW w:type="dxa" w:w="1080"/>
          </w:tcPr>
          <w:p>
            <w:r>
              <w:rPr>
                <w:rFonts w:ascii="Calibri" w:hAnsi="Calibri"/>
                <w:sz w:val="22"/>
              </w:rPr>
              <w:t>$3.06</w:t>
            </w:r>
          </w:p>
        </w:tc>
        <w:tc>
          <w:tcPr>
            <w:tcW w:type="dxa" w:w="1080"/>
          </w:tcPr>
          <w:p>
            <w:r>
              <w:rPr>
                <w:rFonts w:ascii="Calibri" w:hAnsi="Calibri"/>
                <w:sz w:val="22"/>
              </w:rPr>
              <w:t>$3.09</w:t>
            </w:r>
          </w:p>
        </w:tc>
        <w:tc>
          <w:tcPr>
            <w:tcW w:type="dxa" w:w="1080"/>
          </w:tcPr>
          <w:p>
            <w:r>
              <w:rPr>
                <w:rFonts w:ascii="Calibri" w:hAnsi="Calibri"/>
                <w:sz w:val="22"/>
              </w:rPr>
              <w:t>+1.0%</w:t>
            </w:r>
          </w:p>
        </w:tc>
        <w:tc>
          <w:tcPr>
            <w:tcW w:type="dxa" w:w="1080"/>
          </w:tcPr>
          <w:p>
            <w:r>
              <w:rPr>
                <w:rFonts w:ascii="Calibri" w:hAnsi="Calibri"/>
                <w:sz w:val="22"/>
              </w:rPr>
              <w:t>$2.99–$3.06</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+1.6% above midpoint</w:t>
            </w:r>
          </w:p>
        </w:tc>
      </w:tr>
      <w:tr>
        <w:tc>
          <w:tcPr>
            <w:tcW w:type="dxa" w:w="1080"/>
          </w:tcPr>
          <w:p>
            <w:r>
              <w:rPr>
                <w:rFonts w:ascii="Calibri" w:hAnsi="Calibri"/>
                <w:sz w:val="22"/>
              </w:rPr>
              <w:t>Adj. EBITDA — Q2 2026</w:t>
            </w:r>
          </w:p>
        </w:tc>
        <w:tc>
          <w:tcPr>
            <w:tcW w:type="dxa" w:w="1080"/>
          </w:tcPr>
          <w:p>
            <w:r>
              <w:rPr>
                <w:rFonts w:ascii="Calibri" w:hAnsi="Calibri"/>
                <w:sz w:val="22"/>
              </w:rPr>
              <w:t>$1,541M</w:t>
            </w:r>
          </w:p>
        </w:tc>
        <w:tc>
          <w:tcPr>
            <w:tcW w:type="dxa" w:w="1080"/>
          </w:tcPr>
          <w:p>
            <w:r>
              <w:rPr>
                <w:rFonts w:ascii="Calibri" w:hAnsi="Calibri"/>
                <w:sz w:val="22"/>
              </w:rPr>
              <w:t>$1,551M</w:t>
            </w:r>
          </w:p>
        </w:tc>
        <w:tc>
          <w:tcPr>
            <w:tcW w:type="dxa" w:w="1080"/>
          </w:tcPr>
          <w:p>
            <w:r>
              <w:rPr>
                <w:rFonts w:ascii="Calibri" w:hAnsi="Calibri"/>
                <w:sz w:val="22"/>
              </w:rPr>
              <w:t>+0.6%</w:t>
            </w:r>
          </w:p>
        </w:tc>
        <w:tc>
          <w:tcPr>
            <w:tcW w:type="dxa" w:w="1080"/>
          </w:tcPr>
          <w:p>
            <w:r>
              <w:rPr>
                <w:rFonts w:ascii="Calibri" w:hAnsi="Calibri"/>
                <w:sz w:val="22"/>
              </w:rPr>
              <w:t>$1,525–$1,550M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+0.1% above top of range</w:t>
            </w:r>
          </w:p>
        </w:tc>
      </w:tr>
      <w:tr>
        <w:tc>
          <w:tcPr>
            <w:tcW w:type="dxa" w:w="1080"/>
          </w:tcPr>
          <w:p>
            <w:r>
              <w:rPr>
                <w:rFonts w:ascii="Calibri" w:hAnsi="Calibri"/>
                <w:sz w:val="22"/>
              </w:rPr>
              <w:t>Gross Fees — Q2 2026</w:t>
            </w:r>
          </w:p>
        </w:tc>
        <w:tc>
          <w:tcPr>
            <w:tcW w:type="dxa" w:w="1080"/>
          </w:tcPr>
          <w:p>
            <w:r>
              <w:rPr>
                <w:rFonts w:ascii="Calibri" w:hAnsi="Calibri"/>
                <w:sz w:val="22"/>
              </w:rPr>
              <w:t>$1,547M</w:t>
            </w:r>
          </w:p>
        </w:tc>
        <w:tc>
          <w:tcPr>
            <w:tcW w:type="dxa" w:w="1080"/>
          </w:tcPr>
          <w:p>
            <w:r>
              <w:rPr>
                <w:rFonts w:ascii="Calibri" w:hAnsi="Calibri"/>
                <w:sz w:val="22"/>
              </w:rPr>
              <w:t>$1,555M</w:t>
            </w:r>
          </w:p>
        </w:tc>
        <w:tc>
          <w:tcPr>
            <w:tcW w:type="dxa" w:w="1080"/>
          </w:tcPr>
          <w:p>
            <w:r>
              <w:rPr>
                <w:rFonts w:ascii="Calibri" w:hAnsi="Calibri"/>
                <w:sz w:val="22"/>
              </w:rPr>
              <w:t>+0.5%</w:t>
            </w:r>
          </w:p>
        </w:tc>
        <w:tc>
          <w:tcPr>
            <w:tcW w:type="dxa" w:w="1080"/>
          </w:tcPr>
          <w:p>
            <w:r>
              <w:rPr>
                <w:rFonts w:ascii="Calibri" w:hAnsi="Calibri"/>
                <w:sz w:val="22"/>
              </w:rPr>
              <w:t>$1,538–$1,553M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+0.8% above midpoint</w:t>
            </w:r>
          </w:p>
        </w:tc>
      </w:tr>
      <w:tr>
        <w:tc>
          <w:tcPr>
            <w:tcW w:type="dxa" w:w="1080"/>
          </w:tcPr>
          <w:p>
            <w:r>
              <w:rPr>
                <w:rFonts w:ascii="Calibri" w:hAnsi="Calibri"/>
                <w:sz w:val="22"/>
              </w:rPr>
              <w:t>Adj. EPS — FY 2026</w:t>
            </w:r>
          </w:p>
        </w:tc>
        <w:tc>
          <w:tcPr>
            <w:tcW w:type="dxa" w:w="1080"/>
          </w:tcPr>
          <w:p>
            <w:r>
              <w:rPr>
                <w:rFonts w:ascii="Calibri" w:hAnsi="Calibri"/>
                <w:sz w:val="22"/>
              </w:rPr>
              <w:t>$11.65</w:t>
            </w:r>
          </w:p>
        </w:tc>
        <w:tc>
          <w:tcPr>
            <w:tcW w:type="dxa" w:w="1080"/>
          </w:tcPr>
          <w:p>
            <w:r>
              <w:rPr>
                <w:rFonts w:ascii="Calibri" w:hAnsi="Calibri"/>
                <w:sz w:val="22"/>
              </w:rPr>
              <w:t>$11.66</w:t>
            </w:r>
          </w:p>
        </w:tc>
        <w:tc>
          <w:tcPr>
            <w:tcW w:type="dxa" w:w="1080"/>
          </w:tcPr>
          <w:p>
            <w:r>
              <w:rPr>
                <w:rFonts w:ascii="Calibri" w:hAnsi="Calibri"/>
                <w:sz w:val="22"/>
              </w:rPr>
              <w:t>+0.1%</w:t>
            </w:r>
          </w:p>
        </w:tc>
        <w:tc>
          <w:tcPr>
            <w:tcW w:type="dxa" w:w="1080"/>
          </w:tcPr>
          <w:p>
            <w:r>
              <w:rPr>
                <w:rFonts w:ascii="Calibri" w:hAnsi="Calibri"/>
                <w:sz w:val="22"/>
              </w:rPr>
              <w:t>$11.38–$11.63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top of range</w:t>
            </w:r>
          </w:p>
        </w:tc>
      </w:tr>
      <w:tr>
        <w:tc>
          <w:tcPr>
            <w:tcW w:type="dxa" w:w="1080"/>
          </w:tcPr>
          <w:p>
            <w:r>
              <w:rPr>
                <w:rFonts w:ascii="Calibri" w:hAnsi="Calibri"/>
                <w:sz w:val="22"/>
              </w:rPr>
              <w:t>Adj. EBITDA — FY 2026</w:t>
            </w:r>
          </w:p>
        </w:tc>
        <w:tc>
          <w:tcPr>
            <w:tcW w:type="dxa" w:w="1080"/>
          </w:tcPr>
          <w:p>
            <w:r>
              <w:rPr>
                <w:rFonts w:ascii="Calibri" w:hAnsi="Calibri"/>
                <w:sz w:val="22"/>
              </w:rPr>
              <w:t>$5,959M</w:t>
            </w:r>
          </w:p>
        </w:tc>
        <w:tc>
          <w:tcPr>
            <w:tcW w:type="dxa" w:w="1080"/>
          </w:tcPr>
          <w:p>
            <w:r>
              <w:rPr>
                <w:rFonts w:ascii="Calibri" w:hAnsi="Calibri"/>
                <w:sz w:val="22"/>
              </w:rPr>
              <w:t>$5,970M</w:t>
            </w:r>
          </w:p>
        </w:tc>
        <w:tc>
          <w:tcPr>
            <w:tcW w:type="dxa" w:w="1080"/>
          </w:tcPr>
          <w:p>
            <w:r>
              <w:rPr>
                <w:rFonts w:ascii="Calibri" w:hAnsi="Calibri"/>
                <w:sz w:val="22"/>
              </w:rPr>
              <w:t>+0.2%</w:t>
            </w:r>
          </w:p>
        </w:tc>
        <w:tc>
          <w:tcPr>
            <w:tcW w:type="dxa" w:w="1080"/>
          </w:tcPr>
          <w:p>
            <w:r>
              <w:rPr>
                <w:rFonts w:ascii="Calibri" w:hAnsi="Calibri"/>
                <w:sz w:val="22"/>
              </w:rPr>
              <w:t>$5,880–$5,970M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At top of range</w:t>
            </w:r>
          </w:p>
        </w:tc>
      </w:tr>
      <w:tr>
        <w:tc>
          <w:tcPr>
            <w:tcW w:type="dxa" w:w="1080"/>
          </w:tcPr>
          <w:p>
            <w:r>
              <w:rPr>
                <w:rFonts w:ascii="Calibri" w:hAnsi="Calibri"/>
                <w:sz w:val="22"/>
              </w:rPr>
              <w:t>Gross Fees — FY 2026</w:t>
            </w:r>
          </w:p>
        </w:tc>
        <w:tc>
          <w:tcPr>
            <w:tcW w:type="dxa" w:w="1080"/>
          </w:tcPr>
          <w:p>
            <w:r>
              <w:rPr>
                <w:rFonts w:ascii="Calibri" w:hAnsi="Calibri"/>
                <w:sz w:val="22"/>
              </w:rPr>
              <w:t>$5,989M</w:t>
            </w:r>
          </w:p>
        </w:tc>
        <w:tc>
          <w:tcPr>
            <w:tcW w:type="dxa" w:w="1080"/>
          </w:tcPr>
          <w:p>
            <w:r>
              <w:rPr>
                <w:rFonts w:ascii="Calibri" w:hAnsi="Calibri"/>
                <w:sz w:val="22"/>
              </w:rPr>
              <w:t>$5,998M</w:t>
            </w:r>
          </w:p>
        </w:tc>
        <w:tc>
          <w:tcPr>
            <w:tcW w:type="dxa" w:w="1080"/>
          </w:tcPr>
          <w:p>
            <w:r>
              <w:rPr>
                <w:rFonts w:ascii="Calibri" w:hAnsi="Calibri"/>
                <w:sz w:val="22"/>
              </w:rPr>
              <w:t>+0.2%</w:t>
            </w:r>
          </w:p>
        </w:tc>
        <w:tc>
          <w:tcPr>
            <w:tcW w:type="dxa" w:w="1080"/>
          </w:tcPr>
          <w:p>
            <w:r>
              <w:rPr>
                <w:rFonts w:ascii="Calibri" w:hAnsi="Calibri"/>
                <w:sz w:val="22"/>
              </w:rPr>
              <w:t>$5,925–$5,985M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+0.2% above top of range</w:t>
            </w:r>
          </w:p>
        </w:tc>
      </w:tr>
    </w:tbl>
    <w:p>
      <w:r>
        <w:rPr>
          <w:rFonts w:ascii="Calibri" w:hAnsi="Calibri"/>
          <w:color w:val="525866"/>
          <w:sz w:val="22"/>
        </w:rPr>
        <w:t>Estimates have barely moved since the Q1 print, with all key metrics revised up by less than 1% — a sign the Street has high confidence in management’s guidance and is not pricing in incremental upside. The credit card renewal (excluded from all guidance and consensus) remains the primary unmodeled upside catalyst.</w:t>
      </w:r>
    </w:p>
    <w:p>
      <w:r>
        <w:rPr>
          <w:rFonts w:ascii="Calibri" w:hAnsi="Calibri"/>
          <w:i/>
          <w:color w:val="525866"/>
          <w:sz w:val="22"/>
        </w:rPr>
        <w:t>Sources: Visible Alpha Consensus and Actuals Data (as-of date May 13, 2026 and current); MAR Q1 2026 Earnings Release (May 6, 2026).</w:t>
      </w:r>
    </w:p>
    <w:p>
      <w:r>
        <w:br w:type="page"/>
      </w:r>
    </w:p>
    <w:p>
      <w:pPr>
        <w:pStyle w:val="Heading1"/>
        <w:pBdr>
          <w:bottom w:val="single" w:sz="4" w:space="1" w:color="FB9120"/>
        </w:pBdr>
      </w:pPr>
      <w:r>
        <w:rPr>
          <w:rFonts w:ascii="Calibri" w:hAnsi="Calibri"/>
          <w:b/>
          <w:color w:val="3B4259"/>
          <w:sz w:val="40"/>
        </w:rPr>
        <w:t>5. Stock Performance</w:t>
      </w:r>
    </w:p>
    <w:p>
      <w:r>
        <w:rPr>
          <w:rFonts w:ascii="Calibri" w:hAnsi="Calibri"/>
          <w:b/>
          <w:color w:val="525866"/>
          <w:sz w:val="22"/>
        </w:rPr>
        <w:t xml:space="preserve">Key Takeaway: </w:t>
      </w:r>
      <w:r>
        <w:rPr>
          <w:rFonts w:ascii="Calibri" w:hAnsi="Calibri"/>
          <w:color w:val="525866"/>
          <w:sz w:val="22"/>
        </w:rPr>
        <w:t xml:space="preserve">MAR has outperformed both the S&amp;P 500 and XLY (Consumer Discretionary ETF) since the May 6 Q1 earnings date, with the move driven almost entirely by </w:t>
      </w:r>
      <w:r>
        <w:rPr>
          <w:rFonts w:ascii="Calibri" w:hAnsi="Calibri"/>
          <w:b/>
          <w:color w:val="525866"/>
          <w:sz w:val="22"/>
        </w:rPr>
        <w:t>multiple expansion rather than estimate revisions</w:t>
      </w:r>
      <w:r>
        <w:rPr>
          <w:rFonts w:ascii="Calibri" w:hAnsi="Calibri"/>
          <w:color w:val="525866"/>
          <w:sz w:val="22"/>
        </w:rPr>
        <w:t>. NTM EV/EBITDA expanded from ~17.4x to ~18.7x over the past six months, reflecting market confidence in the asset-light model and credit card renewal optionality.</w:t>
      </w:r>
    </w:p>
    <w:p>
      <w:r>
        <w:rPr>
          <w:rFonts w:ascii="Calibri" w:hAnsi="Calibri"/>
          <w:b/>
          <w:color w:val="525866"/>
          <w:sz w:val="22"/>
        </w:rPr>
        <w:t>MAR vs. XLY vs. S&amp;P 500 — Indexed Performance Since May 6, 2026 (Last Earnings Date)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Date</w:t>
            </w:r>
          </w:p>
        </w:tc>
        <w:tc>
          <w:tcPr>
            <w:tcW w:type="dxa" w:w="2160"/>
            <w:shd w:val="clear" w:color="auto" w:fill="3B4259"/>
          </w:tcPr>
          <w:p>
            <w:r>
              <w:rPr>
                <w:rFonts w:ascii="Calibri" w:hAnsi="Calibri"/>
                <w:b/>
                <w:color w:val="FFFFFF"/>
                <w:sz w:val="22"/>
              </w:rPr>
              <w:t>MAR (Indexed)</w:t>
            </w:r>
          </w:p>
        </w:tc>
        <w:tc>
          <w:tcPr>
            <w:tcW w:type="dxa" w:w="2160"/>
            <w:shd w:val="clear" w:color="auto" w:fill="3B4259"/>
          </w:tcPr>
          <w:p>
            <w:r>
              <w:rPr>
                <w:rFonts w:ascii="Calibri" w:hAnsi="Calibri"/>
                <w:b/>
                <w:color w:val="FFFFFF"/>
                <w:sz w:val="22"/>
              </w:rPr>
              <w:t>XLY (Indexed)</w:t>
            </w:r>
          </w:p>
        </w:tc>
        <w:tc>
          <w:tcPr>
            <w:tcW w:type="dxa" w:w="2160"/>
            <w:shd w:val="clear" w:color="auto" w:fill="3B4259"/>
          </w:tcPr>
          <w:p>
            <w:r>
              <w:rPr>
                <w:rFonts w:ascii="Calibri" w:hAnsi="Calibri"/>
                <w:b/>
                <w:color w:val="FFFFFF"/>
                <w:sz w:val="22"/>
              </w:rPr>
              <w:t>SPY (Indexed)</w:t>
            </w:r>
          </w:p>
        </w:tc>
      </w:tr>
      <w:tr>
        <w:tc>
          <w:tcPr>
            <w:tcW w:type="dxa" w:w="2160"/>
          </w:tcPr>
          <w:p>
            <w:r>
              <w:rPr>
                <w:rFonts w:ascii="Calibri" w:hAnsi="Calibri"/>
                <w:sz w:val="22"/>
              </w:rPr>
              <w:t>May 6, 2026 (Base = 100)</w:t>
            </w:r>
          </w:p>
        </w:tc>
        <w:tc>
          <w:tcPr>
            <w:tcW w:type="dxa" w:w="2160"/>
          </w:tcPr>
          <w:p>
            <w:r>
              <w:rPr>
                <w:rFonts w:ascii="Calibri" w:hAnsi="Calibri"/>
                <w:sz w:val="22"/>
              </w:rPr>
              <w:t>100.0</w:t>
            </w:r>
          </w:p>
        </w:tc>
        <w:tc>
          <w:tcPr>
            <w:tcW w:type="dxa" w:w="2160"/>
          </w:tcPr>
          <w:p>
            <w:r>
              <w:rPr>
                <w:rFonts w:ascii="Calibri" w:hAnsi="Calibri"/>
                <w:sz w:val="22"/>
              </w:rPr>
              <w:t>100.0</w:t>
            </w:r>
          </w:p>
        </w:tc>
        <w:tc>
          <w:tcPr>
            <w:tcW w:type="dxa" w:w="2160"/>
          </w:tcPr>
          <w:p>
            <w:r>
              <w:rPr>
                <w:rFonts w:ascii="Calibri" w:hAnsi="Calibri"/>
                <w:sz w:val="22"/>
              </w:rPr>
              <w:t>100.0</w:t>
            </w:r>
          </w:p>
        </w:tc>
      </w:tr>
      <w:tr>
        <w:tc>
          <w:tcPr>
            <w:tcW w:type="dxa" w:w="2160"/>
          </w:tcPr>
          <w:p>
            <w:r>
              <w:rPr>
                <w:rFonts w:ascii="Calibri" w:hAnsi="Calibri"/>
                <w:sz w:val="22"/>
              </w:rPr>
              <w:t>May 27, 2026 (Peak)</w:t>
            </w:r>
          </w:p>
        </w:tc>
        <w:tc>
          <w:tcPr>
            <w:tcW w:type="dxa" w:w="2160"/>
          </w:tcPr>
          <w:p>
            <w:r>
              <w:rPr>
                <w:rFonts w:ascii="Calibri" w:hAnsi="Calibri"/>
                <w:sz w:val="22"/>
              </w:rPr>
              <w:t>107.5</w:t>
            </w:r>
          </w:p>
        </w:tc>
        <w:tc>
          <w:tcPr>
            <w:tcW w:type="dxa" w:w="2160"/>
          </w:tcPr>
          <w:p>
            <w:r>
              <w:rPr>
                <w:rFonts w:ascii="Calibri" w:hAnsi="Calibri"/>
                <w:sz w:val="22"/>
              </w:rPr>
              <w:t>101.4</w:t>
            </w:r>
          </w:p>
        </w:tc>
        <w:tc>
          <w:tcPr>
            <w:tcW w:type="dxa" w:w="2160"/>
          </w:tcPr>
          <w:p>
            <w:r>
              <w:rPr>
                <w:rFonts w:ascii="Calibri" w:hAnsi="Calibri"/>
                <w:sz w:val="22"/>
              </w:rPr>
              <w:t>102.3</w:t>
            </w:r>
          </w:p>
        </w:tc>
      </w:tr>
      <w:tr>
        <w:tc>
          <w:tcPr>
            <w:tcW w:type="dxa" w:w="2160"/>
          </w:tcPr>
          <w:p>
            <w:r>
              <w:rPr>
                <w:rFonts w:ascii="Calibri" w:hAnsi="Calibri"/>
                <w:sz w:val="22"/>
              </w:rPr>
              <w:t>June 12, 2026 (YTD High)</w:t>
            </w:r>
          </w:p>
        </w:tc>
        <w:tc>
          <w:tcPr>
            <w:tcW w:type="dxa" w:w="2160"/>
          </w:tcPr>
          <w:p>
            <w:r>
              <w:rPr>
                <w:rFonts w:ascii="Calibri" w:hAnsi="Calibri"/>
                <w:sz w:val="22"/>
              </w:rPr>
              <w:t>112.1</w:t>
            </w:r>
          </w:p>
        </w:tc>
        <w:tc>
          <w:tcPr>
            <w:tcW w:type="dxa" w:w="2160"/>
          </w:tcPr>
          <w:p>
            <w:r>
              <w:rPr>
                <w:rFonts w:ascii="Calibri" w:hAnsi="Calibri"/>
                <w:sz w:val="22"/>
              </w:rPr>
              <w:t>97.3</w:t>
            </w:r>
          </w:p>
        </w:tc>
        <w:tc>
          <w:tcPr>
            <w:tcW w:type="dxa" w:w="2160"/>
          </w:tcPr>
          <w:p>
            <w:r>
              <w:rPr>
                <w:rFonts w:ascii="Calibri" w:hAnsi="Calibri"/>
                <w:sz w:val="22"/>
              </w:rPr>
              <w:t>101.1</w:t>
            </w:r>
          </w:p>
        </w:tc>
      </w:tr>
      <w:tr>
        <w:tc>
          <w:tcPr>
            <w:tcW w:type="dxa" w:w="2160"/>
          </w:tcPr>
          <w:p>
            <w:r>
              <w:rPr>
                <w:rFonts w:ascii="Calibri" w:hAnsi="Calibri"/>
                <w:sz w:val="22"/>
              </w:rPr>
              <w:t>June 30, 2026</w:t>
            </w:r>
          </w:p>
        </w:tc>
        <w:tc>
          <w:tcPr>
            <w:tcW w:type="dxa" w:w="2160"/>
          </w:tcPr>
          <w:p>
            <w:r>
              <w:rPr>
                <w:rFonts w:ascii="Calibri" w:hAnsi="Calibri"/>
                <w:sz w:val="22"/>
              </w:rPr>
              <w:t>103.2</w:t>
            </w:r>
          </w:p>
        </w:tc>
        <w:tc>
          <w:tcPr>
            <w:tcW w:type="dxa" w:w="2160"/>
          </w:tcPr>
          <w:p>
            <w:r>
              <w:rPr>
                <w:rFonts w:ascii="Calibri" w:hAnsi="Calibri"/>
                <w:sz w:val="22"/>
              </w:rPr>
              <w:t>97.8</w:t>
            </w:r>
          </w:p>
        </w:tc>
        <w:tc>
          <w:tcPr>
            <w:tcW w:type="dxa" w:w="2160"/>
          </w:tcPr>
          <w:p>
            <w:r>
              <w:rPr>
                <w:rFonts w:ascii="Calibri" w:hAnsi="Calibri"/>
                <w:sz w:val="22"/>
              </w:rPr>
              <w:t>101.8</w:t>
            </w:r>
          </w:p>
        </w:tc>
      </w:tr>
      <w:tr>
        <w:tc>
          <w:tcPr>
            <w:tcW w:type="dxa" w:w="2160"/>
          </w:tcPr>
          <w:p>
            <w:r>
              <w:rPr>
                <w:rFonts w:ascii="Calibri" w:hAnsi="Calibri"/>
                <w:sz w:val="22"/>
              </w:rPr>
              <w:t>July 31, 2026 (Latest)</w:t>
            </w:r>
          </w:p>
        </w:tc>
        <w:tc>
          <w:tcPr>
            <w:tcW w:type="dxa" w:w="2160"/>
          </w:tcPr>
          <w:p>
            <w:r>
              <w:rPr>
                <w:rFonts w:ascii="Calibri" w:hAnsi="Calibri"/>
                <w:sz w:val="22"/>
              </w:rPr>
              <w:t>103.8</w:t>
            </w:r>
          </w:p>
        </w:tc>
        <w:tc>
          <w:tcPr>
            <w:tcW w:type="dxa" w:w="2160"/>
          </w:tcPr>
          <w:p>
            <w:r>
              <w:rPr>
                <w:rFonts w:ascii="Calibri" w:hAnsi="Calibri"/>
                <w:sz w:val="22"/>
              </w:rPr>
              <w:t>96.9</w:t>
            </w:r>
          </w:p>
        </w:tc>
        <w:tc>
          <w:tcPr>
            <w:tcW w:type="dxa" w:w="2160"/>
          </w:tcPr>
          <w:p>
            <w:r>
              <w:rPr>
                <w:rFonts w:ascii="Calibri" w:hAnsi="Calibri"/>
                <w:sz w:val="22"/>
              </w:rPr>
              <w:t>101.8</w:t>
            </w:r>
          </w:p>
        </w:tc>
      </w:tr>
    </w:tbl>
    <w:p>
      <w:r>
        <w:rPr>
          <w:rFonts w:ascii="Calibri" w:hAnsi="Calibri"/>
          <w:i/>
          <w:color w:val="525866"/>
          <w:sz w:val="22"/>
        </w:rPr>
        <w:t>Note: Indexed to 100 at May 6, 2026 close ($359.06 for MAR, $119.87 for XLY, $733.83 for SPY). MAR closed at $372.87 on July 31, 2026 (+3.8%). XLY closed at $116.12 (-3.1%). SPY closed at $747.07 (+1.8%). Sector ETF used: XLY (Consumer Discretionary Select Sector SPDR Fund), which includes MAR’s hotel/lodging peers and is the standard benchmark for the consumer discretionary sector.</w:t>
      </w:r>
    </w:p>
    <w:p>
      <w:r>
        <w:rPr>
          <w:rFonts w:ascii="Calibri" w:hAnsi="Calibri"/>
          <w:b/>
          <w:color w:val="525866"/>
          <w:sz w:val="22"/>
        </w:rPr>
        <w:t>Key Events Since May 6, 2026:</w:t>
      </w:r>
    </w:p>
    <w:p>
      <w:pPr>
        <w:pStyle w:val="ListBullet"/>
        <w:ind w:left="360" w:hanging="360"/>
      </w:pPr>
      <w:r>
        <w:rPr>
          <w:rFonts w:ascii="Calibri" w:hAnsi="Calibri"/>
          <w:b/>
          <w:color w:val="525866"/>
          <w:sz w:val="22"/>
        </w:rPr>
        <w:t xml:space="preserve">May 6, 2026: </w:t>
      </w:r>
      <w:r>
        <w:rPr>
          <w:rFonts w:ascii="Calibri" w:hAnsi="Calibri"/>
          <w:color w:val="525866"/>
          <w:sz w:val="22"/>
        </w:rPr>
        <w:t>Q1 2026 earnings beat (EPS +6.3%, EBITDA +5.6% vs. consensus); full-year RevPAR guidance raised to 2%–3%; stock +modest on the day.</w:t>
      </w:r>
    </w:p>
    <w:p>
      <w:pPr>
        <w:pStyle w:val="ListBullet"/>
        <w:ind w:left="360" w:hanging="360"/>
      </w:pPr>
      <w:r>
        <w:rPr>
          <w:rFonts w:ascii="Calibri" w:hAnsi="Calibri"/>
          <w:b/>
          <w:color w:val="525866"/>
          <w:sz w:val="22"/>
        </w:rPr>
        <w:t xml:space="preserve">May 27, 2026: </w:t>
      </w:r>
      <w:r>
        <w:rPr>
          <w:rFonts w:ascii="Calibri" w:hAnsi="Calibri"/>
          <w:color w:val="525866"/>
          <w:sz w:val="22"/>
        </w:rPr>
        <w:t>MAR reached a near-term peak of ~$385.86 (+7.5% from earnings date), driven by broader market strength and continued momentum in travel demand data.</w:t>
      </w:r>
    </w:p>
    <w:p>
      <w:pPr>
        <w:pStyle w:val="ListBullet"/>
        <w:ind w:left="360" w:hanging="360"/>
      </w:pPr>
      <w:r>
        <w:rPr>
          <w:rFonts w:ascii="Calibri" w:hAnsi="Calibri"/>
          <w:b/>
          <w:color w:val="525866"/>
          <w:sz w:val="22"/>
        </w:rPr>
        <w:t xml:space="preserve">June 1, 2026: </w:t>
      </w:r>
      <w:r>
        <w:rPr>
          <w:rFonts w:ascii="Calibri" w:hAnsi="Calibri"/>
          <w:color w:val="525866"/>
          <w:sz w:val="22"/>
        </w:rPr>
        <w:t>CFO Jennifer Mason spoke at Morgan Stanley Travel &amp; Leisure Conference; reaffirmed Q2 and full-year guidance; confirmed April RevPAR in line with expectations; stock held near highs.</w:t>
      </w:r>
    </w:p>
    <w:p>
      <w:pPr>
        <w:pStyle w:val="ListBullet"/>
        <w:ind w:left="360" w:hanging="360"/>
      </w:pPr>
      <w:r>
        <w:rPr>
          <w:rFonts w:ascii="Calibri" w:hAnsi="Calibri"/>
          <w:b/>
          <w:color w:val="525866"/>
          <w:sz w:val="22"/>
        </w:rPr>
        <w:t xml:space="preserve">June 12, 2026: </w:t>
      </w:r>
      <w:r>
        <w:rPr>
          <w:rFonts w:ascii="Calibri" w:hAnsi="Calibri"/>
          <w:color w:val="525866"/>
          <w:sz w:val="22"/>
        </w:rPr>
        <w:t>MAR hit a period high of ~$402.54 (+12.1% from earnings date), coinciding with World Cup momentum and strong summer booking data.</w:t>
      </w:r>
    </w:p>
    <w:p>
      <w:pPr>
        <w:pStyle w:val="ListBullet"/>
        <w:ind w:left="360" w:hanging="360"/>
      </w:pPr>
      <w:r>
        <w:rPr>
          <w:rFonts w:ascii="Calibri" w:hAnsi="Calibri"/>
          <w:b/>
          <w:color w:val="525866"/>
          <w:sz w:val="22"/>
        </w:rPr>
        <w:t xml:space="preserve">Late June – July 2026: </w:t>
      </w:r>
      <w:r>
        <w:rPr>
          <w:rFonts w:ascii="Calibri" w:hAnsi="Calibri"/>
          <w:color w:val="525866"/>
          <w:sz w:val="22"/>
        </w:rPr>
        <w:t>Stock pulled back from highs as broader consumer discretionary sector (XLY) weakened; MAR gave back some gains but remained above the earnings-day level.</w:t>
      </w:r>
    </w:p>
    <w:p>
      <w:r>
        <w:rPr>
          <w:rFonts w:ascii="Calibri" w:hAnsi="Calibri"/>
          <w:b/>
          <w:color w:val="525866"/>
          <w:sz w:val="22"/>
        </w:rPr>
        <w:t xml:space="preserve">Performance Decomposition (12-month): </w:t>
      </w:r>
      <w:r>
        <w:rPr>
          <w:rFonts w:ascii="Calibri" w:hAnsi="Calibri"/>
          <w:color w:val="525866"/>
          <w:sz w:val="22"/>
        </w:rPr>
        <w:t>MAR is up ~38% over the past 12 months. Of that, ~14.5% is attributable to NTM EV/EBITDA multiple expansion (from 16.3x to 18.7x) and the remainder to earnings/EBITDA growth. The multiple is now at the high end of the historical range, suggesting the stock needs continued execution to sustain the premium.</w:t>
      </w:r>
    </w:p>
    <w:p>
      <w:r>
        <w:rPr>
          <w:rFonts w:ascii="Calibri" w:hAnsi="Calibri"/>
          <w:i/>
          <w:color w:val="525866"/>
          <w:sz w:val="22"/>
        </w:rPr>
        <w:t>Source: Stock Price Data (Yahoo Finance); Stock Performance Decomposition Data.</w:t>
      </w:r>
    </w:p>
    <w:p>
      <w:r>
        <w:br w:type="page"/>
      </w:r>
    </w:p>
    <w:p>
      <w:pPr>
        <w:pStyle w:val="Heading1"/>
        <w:pBdr>
          <w:bottom w:val="single" w:sz="4" w:space="1" w:color="FB9120"/>
        </w:pBdr>
      </w:pPr>
      <w:r>
        <w:rPr>
          <w:rFonts w:ascii="Calibri" w:hAnsi="Calibri"/>
          <w:b/>
          <w:color w:val="3B4259"/>
          <w:sz w:val="40"/>
        </w:rPr>
        <w:t>6. Peer Commentary &amp; Read-Throughs (Last 60 Days)</w:t>
      </w:r>
    </w:p>
    <w:p>
      <w:r>
        <w:rPr>
          <w:rFonts w:ascii="Calibri" w:hAnsi="Calibri"/>
          <w:b/>
          <w:color w:val="525866"/>
          <w:sz w:val="22"/>
        </w:rPr>
        <w:t xml:space="preserve">Key Takeaway: </w:t>
      </w:r>
      <w:r>
        <w:rPr>
          <w:rFonts w:ascii="Calibri" w:hAnsi="Calibri"/>
          <w:color w:val="525866"/>
          <w:sz w:val="22"/>
        </w:rPr>
        <w:t xml:space="preserve">Both Hilton (HLT, reported July 28) and Hyatt (H, reported July 30) reported Q2 2026 results and provided Q3/H2 2026 forward guidance that is broadly constructive for MAR’s Q2 print. </w:t>
      </w:r>
      <w:r>
        <w:rPr>
          <w:rFonts w:ascii="Calibri" w:hAnsi="Calibri"/>
          <w:b/>
          <w:color w:val="525866"/>
          <w:sz w:val="22"/>
        </w:rPr>
        <w:t>The common themes are: business transient recovery strengthening, group pace solid, leisure resilient, and Middle East headwinds persisting but improving sequentially.</w:t>
      </w:r>
      <w:r>
        <w:rPr>
          <w:rFonts w:ascii="Calibri" w:hAnsi="Calibri"/>
          <w:color w:val="525866"/>
          <w:sz w:val="22"/>
        </w:rPr>
        <w:t xml:space="preserve"> The key divergence is that Hilton raised its full-year RevPAR guidance to 3%–3.5% (above MAR’s 2%–3%), which may reflect Hilton’s lower Middle East exposure. Hyatt maintained its full-year EBITDA outlook despite Mexico and Middle East headwinds, signaling confidence in the core U.S. fee business.</w:t>
      </w:r>
    </w:p>
    <w:p>
      <w:r>
        <w:rPr>
          <w:rFonts w:ascii="Calibri" w:hAnsi="Calibri"/>
          <w:i/>
          <w:color w:val="525866"/>
          <w:sz w:val="22"/>
        </w:rPr>
        <w:t>Note: Only forward-looking commentary from peers’ Q2 2026 earnings calls (July 28–30, 2026) is included below. These peers have already reported Q2 2026 and are commenting on Q3 2026 and H2 2026 — the period that overlaps with MAR’s current reporting quarter (Q2 2026, ending June 30) and the forward outlook MAR will address on August 3.</w:t>
      </w:r>
    </w:p>
    <w:p>
      <w:pPr>
        <w:pStyle w:val="Heading2"/>
      </w:pPr>
      <w:r>
        <w:rPr>
          <w:rFonts w:ascii="Calibri" w:hAnsi="Calibri"/>
          <w:b/>
          <w:color w:val="3B4259"/>
          <w:sz w:val="28"/>
        </w:rPr>
        <w:t>Hilton Worldwide (HLT) — Q2 2026 Earnings Call (July 28, 2026)</w:t>
      </w:r>
    </w:p>
    <w:p>
      <w:r>
        <w:rPr>
          <w:rFonts w:ascii="Calibri" w:hAnsi="Calibri"/>
          <w:color w:val="525866"/>
          <w:sz w:val="22"/>
        </w:rPr>
        <w:t>HLT reported Q2 2026 results and provided Q3 2026 guidance and H2 2026 commentary. Key read-throughs for MAR:</w:t>
      </w:r>
    </w:p>
    <w:p>
      <w:pPr>
        <w:pStyle w:val="ListBullet"/>
        <w:ind w:left="360" w:hanging="360"/>
      </w:pPr>
      <w:r>
        <w:rPr>
          <w:rFonts w:ascii="Calibri" w:hAnsi="Calibri"/>
          <w:b/>
          <w:color w:val="525866"/>
          <w:sz w:val="22"/>
        </w:rPr>
        <w:t xml:space="preserve">RevPAR Guidance Raised (Positive Read-Through): </w:t>
      </w:r>
      <w:r>
        <w:rPr>
          <w:rFonts w:ascii="Calibri" w:hAnsi="Calibri"/>
          <w:color w:val="525866"/>
          <w:sz w:val="22"/>
        </w:rPr>
        <w:t xml:space="preserve">Hilton raised its full-year 2026 system-wide RevPAR growth guidance to </w:t>
      </w:r>
      <w:r>
        <w:rPr>
          <w:rFonts w:ascii="Calibri" w:hAnsi="Calibri"/>
          <w:b/>
          <w:color w:val="525866"/>
          <w:sz w:val="22"/>
        </w:rPr>
        <w:t>3.0%–3.5%</w:t>
      </w:r>
      <w:r>
        <w:rPr>
          <w:rFonts w:ascii="Calibri" w:hAnsi="Calibri"/>
          <w:color w:val="525866"/>
          <w:sz w:val="22"/>
        </w:rPr>
        <w:t xml:space="preserve"> (from a prior range), above MAR’s 2%–3% full-year guidance. Q3 2026 RevPAR is expected to be approximately +4%, above the full-year range, benefiting from the World Cup and holiday shifts. This is a positive signal for MAR’s Q2 print and back-half outlook, though MAR’s higher Middle East exposure (~3% of rooms vs. Hilton’s lower share) explains part of the gap.</w:t>
      </w:r>
    </w:p>
    <w:p>
      <w:pPr>
        <w:pStyle w:val="ListBullet"/>
        <w:ind w:left="360" w:hanging="360"/>
      </w:pPr>
      <w:r>
        <w:rPr>
          <w:rFonts w:ascii="Calibri" w:hAnsi="Calibri"/>
          <w:b/>
          <w:color w:val="525866"/>
          <w:sz w:val="22"/>
        </w:rPr>
        <w:t xml:space="preserve">Business Transient Recovery Strengthening (Positive Read-Through): </w:t>
      </w:r>
      <w:r>
        <w:rPr>
          <w:rFonts w:ascii="Calibri" w:hAnsi="Calibri"/>
          <w:color w:val="525866"/>
          <w:sz w:val="22"/>
        </w:rPr>
        <w:t xml:space="preserve">HLT explicitly stated it expects the </w:t>
      </w:r>
      <w:r>
        <w:rPr>
          <w:rFonts w:ascii="Calibri" w:hAnsi="Calibri"/>
          <w:b/>
          <w:color w:val="525866"/>
          <w:sz w:val="22"/>
        </w:rPr>
        <w:t>business transient segment to lead RevPAR growth into Q3</w:t>
      </w:r>
      <w:r>
        <w:rPr>
          <w:rFonts w:ascii="Calibri" w:hAnsi="Calibri"/>
          <w:color w:val="525866"/>
          <w:sz w:val="22"/>
        </w:rPr>
        <w:t>, with “really good strength in midweek business transient” and “really good strength in SMB.” This is directly relevant to MAR, which has flagged business transient (ex-government) as solid but not the primary driver. HLT’s commentary suggests the BT recovery is broadening.</w:t>
      </w:r>
    </w:p>
    <w:p>
      <w:pPr>
        <w:pStyle w:val="ListBullet"/>
        <w:ind w:left="360" w:hanging="360"/>
      </w:pPr>
      <w:r>
        <w:rPr>
          <w:rFonts w:ascii="Calibri" w:hAnsi="Calibri"/>
          <w:b/>
          <w:color w:val="525866"/>
          <w:sz w:val="22"/>
        </w:rPr>
        <w:t xml:space="preserve">U.S. Macro Tailwinds (Positive Read-Through): </w:t>
      </w:r>
      <w:r>
        <w:rPr>
          <w:rFonts w:ascii="Calibri" w:hAnsi="Calibri"/>
          <w:color w:val="525866"/>
          <w:sz w:val="22"/>
        </w:rPr>
        <w:t xml:space="preserve">HLT cited supportive tax and regulatory policy, increased private sector AI investment, and ongoing public infrastructure spending as drivers of broader demand growth, coupled with </w:t>
      </w:r>
      <w:r>
        <w:rPr>
          <w:rFonts w:ascii="Calibri" w:hAnsi="Calibri"/>
          <w:b/>
          <w:color w:val="525866"/>
          <w:sz w:val="22"/>
        </w:rPr>
        <w:t>historically low supply growth of less than 0.5%</w:t>
      </w:r>
      <w:r>
        <w:rPr>
          <w:rFonts w:ascii="Calibri" w:hAnsi="Calibri"/>
          <w:color w:val="525866"/>
          <w:sz w:val="22"/>
        </w:rPr>
        <w:t>. Low supply is a key structural tailwind for MAR’s U.S. RevPAR.</w:t>
      </w:r>
    </w:p>
    <w:p>
      <w:pPr>
        <w:pStyle w:val="ListBullet"/>
        <w:ind w:left="360" w:hanging="360"/>
      </w:pPr>
      <w:r>
        <w:rPr>
          <w:rFonts w:ascii="Calibri" w:hAnsi="Calibri"/>
          <w:b/>
          <w:color w:val="525866"/>
          <w:sz w:val="22"/>
        </w:rPr>
        <w:t xml:space="preserve">Middle East Headwind Persisting (Neutral/Confirming): </w:t>
      </w:r>
      <w:r>
        <w:rPr>
          <w:rFonts w:ascii="Calibri" w:hAnsi="Calibri"/>
          <w:color w:val="525866"/>
          <w:sz w:val="22"/>
        </w:rPr>
        <w:t>HLT confirmed the Middle East conflict continues to weigh on results, consistent with MAR’s Q2 guidance of ~−50% Middle East RevPAR. HLT’s Q3 EBITDA guidance of $1.035–$1.055B was described as “affected by the ongoing conflict in the Middle East.”</w:t>
      </w:r>
    </w:p>
    <w:p>
      <w:pPr>
        <w:pStyle w:val="ListBullet"/>
        <w:ind w:left="360" w:hanging="360"/>
      </w:pPr>
      <w:r>
        <w:rPr>
          <w:rFonts w:ascii="Calibri" w:hAnsi="Calibri"/>
          <w:b/>
          <w:color w:val="525866"/>
          <w:sz w:val="22"/>
        </w:rPr>
        <w:t xml:space="preserve">‘C-Shape Economy’ / Select Service Inflection (Positive Read-Through): </w:t>
      </w:r>
      <w:r>
        <w:rPr>
          <w:rFonts w:ascii="Calibri" w:hAnsi="Calibri"/>
          <w:color w:val="525866"/>
          <w:sz w:val="22"/>
        </w:rPr>
        <w:t>HLT noted the “C-shape Economy” trend where mid-scale and upper mid-scale segments are strengthening, consistent with MAR’s Q1 2026 select service RevPAR inflection (+3.5% after declining in Q4 2025). HLT expects this to continue into Q3.</w:t>
      </w:r>
    </w:p>
    <w:p>
      <w:pPr>
        <w:pStyle w:val="Heading2"/>
      </w:pPr>
      <w:r>
        <w:rPr>
          <w:rFonts w:ascii="Calibri" w:hAnsi="Calibri"/>
          <w:b/>
          <w:color w:val="3B4259"/>
          <w:sz w:val="28"/>
        </w:rPr>
        <w:t>Hyatt Hotels (H) — Q2 2026 Earnings Call (July 30, 2026)</w:t>
      </w:r>
    </w:p>
    <w:p>
      <w:r>
        <w:rPr>
          <w:rFonts w:ascii="Calibri" w:hAnsi="Calibri"/>
          <w:color w:val="525866"/>
          <w:sz w:val="22"/>
        </w:rPr>
        <w:t>Hyatt reported Q2 2026 results and provided H2 2026 and full-year 2026 forward guidance. Key read-throughs for MAR:</w:t>
      </w:r>
    </w:p>
    <w:p>
      <w:pPr>
        <w:pStyle w:val="ListBullet"/>
        <w:ind w:left="360" w:hanging="360"/>
      </w:pPr>
      <w:r>
        <w:rPr>
          <w:rFonts w:ascii="Calibri" w:hAnsi="Calibri"/>
          <w:b/>
          <w:color w:val="525866"/>
          <w:sz w:val="22"/>
        </w:rPr>
        <w:t xml:space="preserve">U.S. Core Fee Business Increasingly Encouraging (Positive Read-Through): </w:t>
      </w:r>
      <w:r>
        <w:rPr>
          <w:rFonts w:ascii="Calibri" w:hAnsi="Calibri"/>
          <w:color w:val="525866"/>
          <w:sz w:val="22"/>
        </w:rPr>
        <w:t xml:space="preserve">Hyatt stated it is “increasingly encouraged by the strength of our core fee business in the United States,” with full-year U.S. revenue growth now expected at </w:t>
      </w:r>
      <w:r>
        <w:rPr>
          <w:rFonts w:ascii="Calibri" w:hAnsi="Calibri"/>
          <w:b/>
          <w:color w:val="525866"/>
          <w:sz w:val="22"/>
        </w:rPr>
        <w:t>3%–4%</w:t>
      </w:r>
      <w:r>
        <w:rPr>
          <w:rFonts w:ascii="Calibri" w:hAnsi="Calibri"/>
          <w:color w:val="525866"/>
          <w:sz w:val="22"/>
        </w:rPr>
        <w:t>. Group pace for U.S. full-service hotels is up mid-single digits for the remainder of 2026. This is a strong positive read-through for MAR’s U.S. group and full-service performance.</w:t>
      </w:r>
    </w:p>
    <w:p>
      <w:pPr>
        <w:pStyle w:val="ListBullet"/>
        <w:ind w:left="360" w:hanging="360"/>
      </w:pPr>
      <w:r>
        <w:rPr>
          <w:rFonts w:ascii="Calibri" w:hAnsi="Calibri"/>
          <w:b/>
          <w:color w:val="525866"/>
          <w:sz w:val="22"/>
        </w:rPr>
        <w:t xml:space="preserve">Select Service Improving on Easier Comps (Positive Read-Through): </w:t>
      </w:r>
      <w:r>
        <w:rPr>
          <w:rFonts w:ascii="Calibri" w:hAnsi="Calibri"/>
          <w:color w:val="525866"/>
          <w:sz w:val="22"/>
        </w:rPr>
        <w:t>Hyatt noted “improving trends in our select service portfolio as we lap easier comparisons.” This corroborates MAR’s Q1 select service inflection and suggests the trend continued into Q2.</w:t>
      </w:r>
    </w:p>
    <w:p>
      <w:pPr>
        <w:pStyle w:val="ListBullet"/>
        <w:ind w:left="360" w:hanging="360"/>
      </w:pPr>
      <w:r>
        <w:rPr>
          <w:rFonts w:ascii="Calibri" w:hAnsi="Calibri"/>
          <w:b/>
          <w:color w:val="525866"/>
          <w:sz w:val="22"/>
        </w:rPr>
        <w:t xml:space="preserve">Asia Pacific Strong Through H2 2026 (Positive Read-Through): </w:t>
      </w:r>
      <w:r>
        <w:rPr>
          <w:rFonts w:ascii="Calibri" w:hAnsi="Calibri"/>
          <w:color w:val="525866"/>
          <w:sz w:val="22"/>
        </w:rPr>
        <w:t>Hyatt expects APAC performance to be “strong through the balance of 2026.” This is a positive signal for MAR’s APAC segment, which grew RevPAR over 7% in Q1 2026 led by Greater China.</w:t>
      </w:r>
    </w:p>
    <w:p>
      <w:pPr>
        <w:pStyle w:val="ListBullet"/>
        <w:ind w:left="360" w:hanging="360"/>
      </w:pPr>
      <w:r>
        <w:rPr>
          <w:rFonts w:ascii="Calibri" w:hAnsi="Calibri"/>
          <w:b/>
          <w:color w:val="525866"/>
          <w:sz w:val="22"/>
        </w:rPr>
        <w:t xml:space="preserve">Middle East Headwind Quantified (Confirming): </w:t>
      </w:r>
      <w:r>
        <w:rPr>
          <w:rFonts w:ascii="Calibri" w:hAnsi="Calibri"/>
          <w:color w:val="525866"/>
          <w:sz w:val="22"/>
        </w:rPr>
        <w:t xml:space="preserve">Hyatt estimates the Middle East conflict will reduce full-year fees by approximately </w:t>
      </w:r>
      <w:r>
        <w:rPr>
          <w:rFonts w:ascii="Calibri" w:hAnsi="Calibri"/>
          <w:b/>
          <w:color w:val="525866"/>
          <w:sz w:val="22"/>
        </w:rPr>
        <w:t>$10 million</w:t>
      </w:r>
      <w:r>
        <w:rPr>
          <w:rFonts w:ascii="Calibri" w:hAnsi="Calibri"/>
          <w:color w:val="525866"/>
          <w:sz w:val="22"/>
        </w:rPr>
        <w:t>. While Hyatt’s Middle East exposure is smaller than MAR’s (~3% of open rooms, ~3% of gross fees), the quantification confirms the headwind is real and ongoing.</w:t>
      </w:r>
    </w:p>
    <w:p>
      <w:pPr>
        <w:pStyle w:val="ListBullet"/>
        <w:ind w:left="360" w:hanging="360"/>
      </w:pPr>
      <w:r>
        <w:rPr>
          <w:rFonts w:ascii="Calibri" w:hAnsi="Calibri"/>
          <w:b/>
          <w:color w:val="525866"/>
          <w:sz w:val="22"/>
        </w:rPr>
        <w:t xml:space="preserve">Mexico / All-Inclusive Weakness (Negative Read-Through, Limited Applicability): </w:t>
      </w:r>
      <w:r>
        <w:rPr>
          <w:rFonts w:ascii="Calibri" w:hAnsi="Calibri"/>
          <w:color w:val="525866"/>
          <w:sz w:val="22"/>
        </w:rPr>
        <w:t>Hyatt flagged that Mexico all-inclusive resort bookings have not recovered as expected, resulting in an approximately $15M fee impact vs. prior outlook. MAR has limited all-inclusive exposure, so this is a modest negative read-through at best.</w:t>
      </w:r>
    </w:p>
    <w:p>
      <w:pPr>
        <w:pStyle w:val="ListBullet"/>
        <w:ind w:left="360" w:hanging="360"/>
      </w:pPr>
      <w:r>
        <w:rPr>
          <w:rFonts w:ascii="Calibri" w:hAnsi="Calibri"/>
          <w:b/>
          <w:color w:val="525866"/>
          <w:sz w:val="22"/>
        </w:rPr>
        <w:t xml:space="preserve">Group Bookings Highly Committed (Positive Read-Through): </w:t>
      </w:r>
      <w:r>
        <w:rPr>
          <w:rFonts w:ascii="Calibri" w:hAnsi="Calibri"/>
          <w:color w:val="525866"/>
          <w:sz w:val="22"/>
        </w:rPr>
        <w:t>Hyatt noted group bookings for 2026 are 96%–97% sold, with 2027 already 55%–60% booked. This level of group visibility is a strong positive for MAR’s group-heavy full-service portfolio.</w:t>
      </w:r>
    </w:p>
    <w:p>
      <w:pPr>
        <w:pStyle w:val="ListBullet"/>
        <w:ind w:left="360" w:hanging="360"/>
      </w:pPr>
      <w:r>
        <w:rPr>
          <w:rFonts w:ascii="Calibri" w:hAnsi="Calibri"/>
          <w:b/>
          <w:color w:val="525866"/>
          <w:sz w:val="22"/>
        </w:rPr>
        <w:t xml:space="preserve">Gross Fees Guidance Maintained at +9%–11% (Positive Read-Through): </w:t>
      </w:r>
      <w:r>
        <w:rPr>
          <w:rFonts w:ascii="Calibri" w:hAnsi="Calibri"/>
          <w:color w:val="525866"/>
          <w:sz w:val="22"/>
        </w:rPr>
        <w:t>Hyatt maintained its full-year gross fees outlook of $1.305–$1.335B (+9%–11%), despite Mexico and Middle East headwinds. This is consistent with MAR’s own +9%–10% gross fee growth guidance and suggests the fee growth story remains intact.</w:t>
      </w:r>
    </w:p>
    <w:p>
      <w:pPr>
        <w:pStyle w:val="Heading2"/>
      </w:pPr>
      <w:r>
        <w:rPr>
          <w:rFonts w:ascii="Calibri" w:hAnsi="Calibri"/>
          <w:b/>
          <w:color w:val="3B4259"/>
          <w:sz w:val="28"/>
        </w:rPr>
        <w:t>MGM Resorts International (MGM) — Q2 2026 Results (July 29, 2026)</w:t>
      </w:r>
    </w:p>
    <w:p>
      <w:r>
        <w:rPr>
          <w:rFonts w:ascii="Calibri" w:hAnsi="Calibri"/>
          <w:color w:val="525866"/>
          <w:sz w:val="22"/>
        </w:rPr>
        <w:t>While MGM is a casino/gaming company rather than a pure-play hotel operator, its Las Vegas Strip commentary is relevant to MAR’s luxury and full-service urban hotel performance:</w:t>
      </w:r>
    </w:p>
    <w:p>
      <w:pPr>
        <w:pStyle w:val="ListBullet"/>
        <w:ind w:left="360" w:hanging="360"/>
      </w:pPr>
      <w:r>
        <w:rPr>
          <w:rFonts w:ascii="Calibri" w:hAnsi="Calibri"/>
          <w:b/>
          <w:color w:val="525866"/>
          <w:sz w:val="22"/>
        </w:rPr>
        <w:t xml:space="preserve">Las Vegas Strip Revenue +3% YoY (Positive Read-Through): </w:t>
      </w:r>
      <w:r>
        <w:rPr>
          <w:rFonts w:ascii="Calibri" w:hAnsi="Calibri"/>
          <w:color w:val="525866"/>
          <w:sz w:val="22"/>
        </w:rPr>
        <w:t xml:space="preserve">MGM reported Las Vegas Strip revenue rose 3% to $2.2B in Q2 2026, crediting </w:t>
      </w:r>
      <w:r>
        <w:rPr>
          <w:rFonts w:ascii="Calibri" w:hAnsi="Calibri"/>
          <w:b/>
          <w:color w:val="525866"/>
          <w:sz w:val="22"/>
        </w:rPr>
        <w:t>strong convention bookings and increased flight capacity</w:t>
      </w:r>
      <w:r>
        <w:rPr>
          <w:rFonts w:ascii="Calibri" w:hAnsi="Calibri"/>
          <w:color w:val="525866"/>
          <w:sz w:val="22"/>
        </w:rPr>
        <w:t xml:space="preserve"> to Las Vegas. This is a positive signal for MAR’s Las Vegas full-service and luxury properties, which benefit from the same convention and group demand drivers.</w:t>
      </w:r>
    </w:p>
    <w:p>
      <w:pPr>
        <w:pStyle w:val="ListBullet"/>
        <w:ind w:left="360" w:hanging="360"/>
      </w:pPr>
      <w:r>
        <w:rPr>
          <w:rFonts w:ascii="Calibri" w:hAnsi="Calibri"/>
          <w:b/>
          <w:color w:val="525866"/>
          <w:sz w:val="22"/>
        </w:rPr>
        <w:t xml:space="preserve">World Cup Driving Record BetMGM Volume (Positive Read-Through): </w:t>
      </w:r>
      <w:r>
        <w:rPr>
          <w:rFonts w:ascii="Calibri" w:hAnsi="Calibri"/>
          <w:color w:val="525866"/>
          <w:sz w:val="22"/>
        </w:rPr>
        <w:t>MGM’s BetMGM reported the 2026 FIFA World Cup became the most-bet World Cup in its history, with overall volume tripling vs. the 2022 World Cup. The expanded tournament format and U.S. hosting are driving significantly higher travel and hospitality demand, consistent with MAR’s expectation that the World Cup adds 30–35 bps to full-year global RevPAR.</w:t>
      </w:r>
    </w:p>
    <w:p>
      <w:pPr>
        <w:pStyle w:val="Heading2"/>
      </w:pPr>
      <w:r>
        <w:rPr>
          <w:rFonts w:ascii="Calibri" w:hAnsi="Calibri"/>
          <w:b/>
          <w:color w:val="3B4259"/>
          <w:sz w:val="28"/>
        </w:rPr>
        <w:t>Royal Caribbean (RCL) — Q2 2026 Results (July 28, 2026)</w:t>
      </w:r>
    </w:p>
    <w:p>
      <w:r>
        <w:rPr>
          <w:rFonts w:ascii="Calibri" w:hAnsi="Calibri"/>
          <w:color w:val="525866"/>
          <w:sz w:val="22"/>
        </w:rPr>
        <w:t>RCL is a cruise operator, but its commentary on travel demand and geopolitical impacts is relevant as a broader leisure travel read-through:</w:t>
      </w:r>
    </w:p>
    <w:p>
      <w:pPr>
        <w:pStyle w:val="ListBullet"/>
        <w:ind w:left="360" w:hanging="360"/>
      </w:pPr>
      <w:r>
        <w:rPr>
          <w:rFonts w:ascii="Calibri" w:hAnsi="Calibri"/>
          <w:b/>
          <w:color w:val="525866"/>
          <w:sz w:val="22"/>
        </w:rPr>
        <w:t xml:space="preserve">Overall Demand Resilient Despite Geopolitical Headwinds (Positive Read-Through): </w:t>
      </w:r>
      <w:r>
        <w:rPr>
          <w:rFonts w:ascii="Calibri" w:hAnsi="Calibri"/>
          <w:color w:val="525866"/>
          <w:sz w:val="22"/>
        </w:rPr>
        <w:t>RCL raised its full-year EPS guidance to $17.73–$17.87 (from $17.10–$17.50) despite noting a “modest booking impact for select itineraries primarily due to prolonged geopolitical activity.” The ability to raise guidance despite geopolitical headwinds is a positive signal for MAR’s leisure demand resilience.</w:t>
      </w:r>
    </w:p>
    <w:p>
      <w:pPr>
        <w:pStyle w:val="ListBullet"/>
        <w:ind w:left="360" w:hanging="360"/>
      </w:pPr>
      <w:r>
        <w:rPr>
          <w:rFonts w:ascii="Calibri" w:hAnsi="Calibri"/>
          <w:b/>
          <w:color w:val="525866"/>
          <w:sz w:val="22"/>
        </w:rPr>
        <w:t xml:space="preserve">Revenue Guidance Trimmed on Geopolitical Booking Impact (Mild Negative Read-Through): </w:t>
      </w:r>
      <w:r>
        <w:rPr>
          <w:rFonts w:ascii="Calibri" w:hAnsi="Calibri"/>
          <w:color w:val="525866"/>
          <w:sz w:val="22"/>
        </w:rPr>
        <w:t>RCL trimmed its annual revenue growth forecast to ~9% (from ~10%), citing prolonged geopolitical tensions. This is a mild negative read-through for MAR’s international leisure demand, particularly in markets affected by Middle East travel disruption.</w:t>
      </w:r>
    </w:p>
    <w:p>
      <w:r>
        <w:rPr>
          <w:rFonts w:ascii="Calibri" w:hAnsi="Calibri"/>
          <w:i/>
          <w:color w:val="525866"/>
          <w:sz w:val="22"/>
        </w:rPr>
        <w:t>Sources: HLT Q2 2026 Earnings Call Transcript (July 28, 2026); H Q2 2026 Earnings Call Transcript (July 30, 2026); MGM Q2 2026 Earnings Release (July 29, 2026); RCL Q2 2026 Earnings Release (July 28, 2026).</w:t>
      </w:r>
    </w:p>
    <w:p>
      <w:r>
        <w:br w:type="page"/>
      </w:r>
    </w:p>
    <w:p>
      <w:pPr>
        <w:pStyle w:val="Heading1"/>
        <w:pBdr>
          <w:bottom w:val="single" w:sz="4" w:space="1" w:color="FB9120"/>
        </w:pBdr>
      </w:pPr>
      <w:r>
        <w:rPr>
          <w:rFonts w:ascii="Calibri" w:hAnsi="Calibri"/>
          <w:b/>
          <w:color w:val="3B4259"/>
          <w:sz w:val="40"/>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the May 6 earnings call is the </w:t>
      </w:r>
      <w:r>
        <w:rPr>
          <w:rFonts w:ascii="Calibri" w:hAnsi="Calibri"/>
          <w:b/>
          <w:color w:val="525866"/>
          <w:sz w:val="22"/>
        </w:rPr>
        <w:t>ongoing FIFA World Cup</w:t>
      </w:r>
      <w:r>
        <w:rPr>
          <w:rFonts w:ascii="Calibri" w:hAnsi="Calibri"/>
          <w:color w:val="525866"/>
          <w:sz w:val="22"/>
        </w:rPr>
        <w:t>, which is tracking in line with MAR’s expectations and providing a measurable Q2 RevPAR tailwind in U.S. markets; the credit card renewal remains the single largest unmodeled upside catalyst heading into the print.</w:t>
      </w:r>
    </w:p>
    <w:p>
      <w:pPr>
        <w:pStyle w:val="ListBullet"/>
        <w:ind w:left="360" w:hanging="360"/>
      </w:pPr>
      <w:r>
        <w:rPr>
          <w:rFonts w:ascii="Calibri" w:hAnsi="Calibri"/>
          <w:b/>
          <w:color w:val="525866"/>
          <w:sz w:val="22"/>
        </w:rPr>
        <w:t xml:space="preserve">August 3, 2026 — Q2 2026 Earnings Call Scheduled: </w:t>
      </w:r>
      <w:r>
        <w:rPr>
          <w:rFonts w:ascii="Calibri" w:hAnsi="Calibri"/>
          <w:color w:val="525866"/>
          <w:sz w:val="22"/>
        </w:rPr>
        <w:t>MAR will report Q2 2026 results and host an earnings call at 8:30 AM ET. This is the primary event; the reporting period is the quarter ended June 30, 2026.</w:t>
      </w:r>
    </w:p>
    <w:p>
      <w:pPr>
        <w:pStyle w:val="ListBullet"/>
        <w:ind w:left="360" w:hanging="360"/>
      </w:pPr>
      <w:r>
        <w:rPr>
          <w:rFonts w:ascii="Calibri" w:hAnsi="Calibri"/>
          <w:b/>
          <w:color w:val="525866"/>
          <w:sz w:val="22"/>
        </w:rPr>
        <w:t xml:space="preserve">July 13, 2026 — Earnings Date Announcement: </w:t>
      </w:r>
      <w:r>
        <w:rPr>
          <w:rFonts w:ascii="Calibri" w:hAnsi="Calibri"/>
          <w:color w:val="525866"/>
          <w:sz w:val="22"/>
        </w:rPr>
        <w:t>Marriott formally announced the August 3 release date for Q2 2026 results, confirming the reporting schedule.</w:t>
      </w:r>
    </w:p>
    <w:p>
      <w:pPr>
        <w:pStyle w:val="ListBullet"/>
        <w:ind w:left="360" w:hanging="360"/>
      </w:pPr>
      <w:r>
        <w:rPr>
          <w:rFonts w:ascii="Calibri" w:hAnsi="Calibri"/>
          <w:b/>
          <w:color w:val="525866"/>
          <w:sz w:val="22"/>
        </w:rPr>
        <w:t xml:space="preserve">June 1, 2026 — Morgan Stanley Travel &amp; Leisure Conference (CFO Jennifer Mason): </w:t>
      </w:r>
      <w:r>
        <w:rPr>
          <w:rFonts w:ascii="Calibri" w:hAnsi="Calibri"/>
          <w:color w:val="525866"/>
          <w:sz w:val="22"/>
        </w:rPr>
        <w:t xml:space="preserve">CFO Mason reaffirmed Q2 RevPAR guidance of +1.5%–2.5% and full-year guidance of +2%–3%. Confirmed April global RevPAR of +1.1% YoY (in line with expectations), April U.S. &amp; Canada RevPAR of +4%, and April Middle East RevPAR of −60%. Noted May Middle East declines are less severe than April. Confirmed June and July U.S. &amp; Canada bookings pacing up nicely in both World Cup and non-World Cup markets. Flagged back-half consumer health and oil price drag as key monitoring items. </w:t>
      </w:r>
      <w:r>
        <w:rPr>
          <w:rFonts w:ascii="Calibri" w:hAnsi="Calibri"/>
          <w:b/>
          <w:color w:val="525866"/>
          <w:sz w:val="22"/>
        </w:rPr>
        <w:t>Implication: No guidance change; confirms Q2 is tracking to plan.</w:t>
      </w:r>
    </w:p>
    <w:p>
      <w:pPr>
        <w:pStyle w:val="ListBullet"/>
        <w:ind w:left="360" w:hanging="360"/>
      </w:pPr>
      <w:r>
        <w:rPr>
          <w:rFonts w:ascii="Calibri" w:hAnsi="Calibri"/>
          <w:b/>
          <w:color w:val="525866"/>
          <w:sz w:val="22"/>
        </w:rPr>
        <w:t xml:space="preserve">May 13, 2026 — Annual Shareholder Meeting: </w:t>
      </w:r>
      <w:r>
        <w:rPr>
          <w:rFonts w:ascii="Calibri" w:hAnsi="Calibri"/>
          <w:color w:val="525866"/>
          <w:sz w:val="22"/>
        </w:rPr>
        <w:t>Shareholders affirmed the board, auditors, and executive pay. No material business updates.</w:t>
      </w:r>
    </w:p>
    <w:p>
      <w:pPr>
        <w:pStyle w:val="ListBullet"/>
        <w:ind w:left="360" w:hanging="360"/>
      </w:pPr>
      <w:r>
        <w:rPr>
          <w:rFonts w:ascii="Calibri" w:hAnsi="Calibri"/>
          <w:b/>
          <w:color w:val="525866"/>
          <w:sz w:val="22"/>
        </w:rPr>
        <w:t xml:space="preserve">May 18, 2026 — Morgan Stanley Conference Announcement: </w:t>
      </w:r>
      <w:r>
        <w:rPr>
          <w:rFonts w:ascii="Calibri" w:hAnsi="Calibri"/>
          <w:color w:val="525866"/>
          <w:sz w:val="22"/>
        </w:rPr>
        <w:t>MAR announced CFO Jennifer Mason would speak at the Morgan Stanley Travel &amp; Leisure Conference on June 1, with remarks webcast.</w:t>
      </w:r>
    </w:p>
    <w:p>
      <w:pPr>
        <w:pStyle w:val="ListBullet"/>
        <w:ind w:left="360" w:hanging="360"/>
      </w:pPr>
      <w:r>
        <w:rPr>
          <w:rFonts w:ascii="Calibri" w:hAnsi="Calibri"/>
          <w:b/>
          <w:color w:val="525866"/>
          <w:sz w:val="22"/>
        </w:rPr>
        <w:t xml:space="preserve">Ongoing — FIFA World Cup 2026 (U.S./Canada/Mexico Host): </w:t>
      </w:r>
      <w:r>
        <w:rPr>
          <w:rFonts w:ascii="Calibri" w:hAnsi="Calibri"/>
          <w:color w:val="525866"/>
          <w:sz w:val="22"/>
        </w:rPr>
        <w:t xml:space="preserve">The World Cup is tracking in line with MAR’s expectations of +30–35 bps to full-year global RevPAR. June and July U.S. &amp; Canada bookings are pacing up nicely in both World Cup and non-World Cup markets. MGM’s BetMGM reported World Cup betting volume tripled vs. 2022, confirming elevated travel and hospitality demand. </w:t>
      </w:r>
      <w:r>
        <w:rPr>
          <w:rFonts w:ascii="Calibri" w:hAnsi="Calibri"/>
          <w:b/>
          <w:color w:val="525866"/>
          <w:sz w:val="22"/>
        </w:rPr>
        <w:t>Implication: Q2 World Cup tailwind appears intact; FIFA room block cancellations were anticipated and baked into guidance.</w:t>
      </w:r>
    </w:p>
    <w:p>
      <w:pPr>
        <w:pStyle w:val="ListBullet"/>
        <w:ind w:left="360" w:hanging="360"/>
      </w:pPr>
      <w:r>
        <w:rPr>
          <w:rFonts w:ascii="Calibri" w:hAnsi="Calibri"/>
          <w:b/>
          <w:color w:val="525866"/>
          <w:sz w:val="22"/>
        </w:rPr>
        <w:t xml:space="preserve">Ongoing — Middle East Conflict (Iran-Israel War, began late February 2026): </w:t>
      </w:r>
      <w:r>
        <w:rPr>
          <w:rFonts w:ascii="Calibri" w:hAnsi="Calibri"/>
          <w:color w:val="525866"/>
          <w:sz w:val="22"/>
        </w:rPr>
        <w:t xml:space="preserve">The conflict continues to weigh on MAR’s Middle East properties (~3% of open rooms, ~3% of gross fees). April Middle East RevPAR was −60%; May was less severe; Q2 guidance assumes ~−50%. Both Hilton and Hyatt confirmed the headwind persists. </w:t>
      </w:r>
      <w:r>
        <w:rPr>
          <w:rFonts w:ascii="Calibri" w:hAnsi="Calibri"/>
          <w:b/>
          <w:color w:val="525866"/>
          <w:sz w:val="22"/>
        </w:rPr>
        <w:t>Implication: The Q2 Middle East assumption may prove conservative if May/June improved faster than expected.</w:t>
      </w:r>
    </w:p>
    <w:p>
      <w:pPr>
        <w:pStyle w:val="ListBullet"/>
        <w:ind w:left="360" w:hanging="360"/>
      </w:pPr>
      <w:r>
        <w:rPr>
          <w:rFonts w:ascii="Calibri" w:hAnsi="Calibri"/>
          <w:b/>
          <w:color w:val="525866"/>
          <w:sz w:val="22"/>
        </w:rPr>
        <w:t xml:space="preserve">Ongoing — U.S. Co-branded Credit Card Renewal (Chase, Amex, Visa): </w:t>
      </w:r>
      <w:r>
        <w:rPr>
          <w:rFonts w:ascii="Calibri" w:hAnsi="Calibri"/>
          <w:color w:val="525866"/>
          <w:sz w:val="22"/>
        </w:rPr>
        <w:t xml:space="preserve">Discussions are ongoing and described as “going well.” New deals are expected later in 2026 and are excluded from all current guidance and consensus. The primary financial benefit comes after card relaunch. </w:t>
      </w:r>
      <w:r>
        <w:rPr>
          <w:rFonts w:ascii="Calibri" w:hAnsi="Calibri"/>
          <w:b/>
          <w:color w:val="525866"/>
          <w:sz w:val="22"/>
        </w:rPr>
        <w:t>Implication: Any update on timing or economics on the August 3 call is the single largest potential positive catalyst.</w:t>
      </w:r>
    </w:p>
    <w:p>
      <w:pPr>
        <w:pStyle w:val="ListBullet"/>
        <w:ind w:left="360" w:hanging="360"/>
      </w:pPr>
      <w:r>
        <w:rPr>
          <w:rFonts w:ascii="Calibri" w:hAnsi="Calibri"/>
          <w:b/>
          <w:color w:val="525866"/>
          <w:sz w:val="22"/>
        </w:rPr>
        <w:t xml:space="preserve">Ongoing — Lefay Luxury Wellness Brand Investment: </w:t>
      </w:r>
      <w:r>
        <w:rPr>
          <w:rFonts w:ascii="Calibri" w:hAnsi="Calibri"/>
          <w:color w:val="525866"/>
          <w:sz w:val="22"/>
        </w:rPr>
        <w:t>MAR’s planned investment in Lefay (its first luxury wellness brand) is assumed to occur later in 2026 and is included in the $1.05–$1.15B investment spending guidance. The brand is expected to enter the portfolio later this year.</w:t>
      </w:r>
    </w:p>
    <w:p>
      <w:pPr>
        <w:pStyle w:val="ListBullet"/>
        <w:ind w:left="360" w:hanging="360"/>
      </w:pPr>
      <w:r>
        <w:rPr>
          <w:rFonts w:ascii="Calibri" w:hAnsi="Calibri"/>
          <w:b/>
          <w:color w:val="525866"/>
          <w:sz w:val="22"/>
        </w:rPr>
        <w:t xml:space="preserve">Ongoing — Technology Rollout &amp; AI Distribution Strategy: </w:t>
      </w:r>
      <w:r>
        <w:rPr>
          <w:rFonts w:ascii="Calibri" w:hAnsi="Calibri"/>
          <w:color w:val="525866"/>
          <w:sz w:val="22"/>
        </w:rPr>
        <w:t xml:space="preserve">MAR transitioned its 1,000th hotel to its new tech ecosystem as of May 6. A phased rollout of natural language conversational search on marriott.com and the app was planned by end of Q2 2026. MAR is actively participating in Google AI mode travel and OpenAI ad pilot programs. </w:t>
      </w:r>
      <w:r>
        <w:rPr>
          <w:rFonts w:ascii="Calibri" w:hAnsi="Calibri"/>
          <w:b/>
          <w:color w:val="525866"/>
          <w:sz w:val="22"/>
        </w:rPr>
        <w:t>Implication: AI distribution is framed as a direct booking channel opportunity that could reduce owner OTA costs; watch for Q2 update on rollout progress.</w:t>
      </w:r>
    </w:p>
    <w:p>
      <w:pPr>
        <w:pStyle w:val="ListBullet"/>
        <w:ind w:left="360" w:hanging="360"/>
      </w:pPr>
      <w:r>
        <w:rPr>
          <w:rFonts w:ascii="Calibri" w:hAnsi="Calibri"/>
          <w:b/>
          <w:color w:val="525866"/>
          <w:sz w:val="22"/>
        </w:rPr>
        <w:t xml:space="preserve">Ongoing — New Series by Marriott Brand (Europe Expansion): </w:t>
      </w:r>
      <w:r>
        <w:rPr>
          <w:rFonts w:ascii="Calibri" w:hAnsi="Calibri"/>
          <w:color w:val="525866"/>
          <w:sz w:val="22"/>
        </w:rPr>
        <w:t>MAR signed 6 projects in Italy and 5 in the UK for its regionally rooted Series by Marriott brand, targeting midscale to upscale domestically focused travelers.</w:t>
      </w:r>
    </w:p>
    <w:p>
      <w:r>
        <w:br w:type="page"/>
      </w:r>
    </w:p>
    <w:p>
      <w:pPr>
        <w:pStyle w:val="Heading1"/>
        <w:pBdr>
          <w:bottom w:val="single" w:sz="4" w:space="1" w:color="FB9120"/>
        </w:pBdr>
      </w:pPr>
      <w:r>
        <w:rPr>
          <w:rFonts w:ascii="Calibri" w:hAnsi="Calibri"/>
          <w:b/>
          <w:color w:val="3B4259"/>
          <w:sz w:val="40"/>
        </w:rPr>
        <w:t>8. Insider Transaction Activity</w:t>
      </w:r>
    </w:p>
    <w:p>
      <w:r>
        <w:rPr>
          <w:rFonts w:ascii="Calibri" w:hAnsi="Calibri"/>
          <w:b/>
          <w:color w:val="525866"/>
          <w:sz w:val="22"/>
        </w:rPr>
        <w:t xml:space="preserve">Key Takeaway: </w:t>
      </w:r>
      <w:r>
        <w:rPr>
          <w:rFonts w:ascii="Calibri" w:hAnsi="Calibri"/>
          <w:color w:val="525866"/>
          <w:sz w:val="22"/>
        </w:rPr>
        <w:t xml:space="preserve">Insider activity since the May 6 earnings call is limited to two open-market sales by senior executives — both discretionary and relatively small relative to total holdings. </w:t>
      </w:r>
      <w:r>
        <w:rPr>
          <w:rFonts w:ascii="Calibri" w:hAnsi="Calibri"/>
          <w:b/>
          <w:color w:val="525866"/>
          <w:sz w:val="22"/>
        </w:rPr>
        <w:t>No open-market buys have been filed</w:t>
      </w:r>
      <w:r>
        <w:rPr>
          <w:rFonts w:ascii="Calibri" w:hAnsi="Calibri"/>
          <w:color w:val="525866"/>
          <w:sz w:val="22"/>
        </w:rPr>
        <w:t>, and the sales do not appear to signal concern about the upcoming print. The absence of clustered selling or unusual transaction sizes is a neutral signal.</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Peggy Roe</w:t>
            </w:r>
          </w:p>
        </w:tc>
        <w:tc>
          <w:tcPr>
            <w:tcW w:type="dxa" w:w="1440"/>
          </w:tcPr>
          <w:p>
            <w:r>
              <w:rPr>
                <w:rFonts w:ascii="Calibri" w:hAnsi="Calibri"/>
                <w:sz w:val="22"/>
              </w:rPr>
              <w:t>EVP &amp; Chief Customer Officer</w:t>
            </w:r>
          </w:p>
        </w:tc>
        <w:tc>
          <w:tcPr>
            <w:tcW w:type="dxa" w:w="1440"/>
          </w:tcPr>
          <w:p>
            <w:r>
              <w:rPr>
                <w:rFonts w:ascii="Calibri" w:hAnsi="Calibri"/>
                <w:sz w:val="22"/>
              </w:rPr>
              <w:t>Open Market Sale</w:t>
            </w:r>
          </w:p>
        </w:tc>
        <w:tc>
          <w:tcPr>
            <w:tcW w:type="dxa" w:w="1440"/>
          </w:tcPr>
          <w:p>
            <w:r>
              <w:rPr>
                <w:rFonts w:ascii="Calibri" w:hAnsi="Calibri"/>
                <w:sz w:val="22"/>
              </w:rPr>
              <w:t>3,000 shares</w:t>
            </w:r>
          </w:p>
        </w:tc>
        <w:tc>
          <w:tcPr>
            <w:tcW w:type="dxa" w:w="1440"/>
          </w:tcPr>
          <w:p>
            <w:r>
              <w:rPr>
                <w:rFonts w:ascii="Calibri" w:hAnsi="Calibri"/>
                <w:sz w:val="22"/>
              </w:rPr>
              <w:t>May 18, 2026</w:t>
            </w:r>
          </w:p>
        </w:tc>
        <w:tc>
          <w:tcPr>
            <w:tcW w:type="dxa" w:w="1440"/>
          </w:tcPr>
          <w:p>
            <w:r>
              <w:rPr>
                <w:rFonts w:ascii="Calibri" w:hAnsi="Calibri"/>
                <w:sz w:val="22"/>
              </w:rPr>
              <w:t>Discretionary; sold ~13% of holdings (19,827 shares remaining); no 10b5-1 plan indicated</w:t>
            </w:r>
          </w:p>
        </w:tc>
      </w:tr>
      <w:tr>
        <w:tc>
          <w:tcPr>
            <w:tcW w:type="dxa" w:w="1440"/>
          </w:tcPr>
          <w:p>
            <w:r>
              <w:rPr>
                <w:rFonts w:ascii="Calibri" w:hAnsi="Calibri"/>
                <w:sz w:val="22"/>
              </w:rPr>
              <w:t>Yibing Mao</w:t>
            </w:r>
          </w:p>
        </w:tc>
        <w:tc>
          <w:tcPr>
            <w:tcW w:type="dxa" w:w="1440"/>
          </w:tcPr>
          <w:p>
            <w:r>
              <w:rPr>
                <w:rFonts w:ascii="Calibri" w:hAnsi="Calibri"/>
                <w:sz w:val="22"/>
              </w:rPr>
              <w:t>President, Greater China</w:t>
            </w:r>
          </w:p>
        </w:tc>
        <w:tc>
          <w:tcPr>
            <w:tcW w:type="dxa" w:w="1440"/>
          </w:tcPr>
          <w:p>
            <w:r>
              <w:rPr>
                <w:rFonts w:ascii="Calibri" w:hAnsi="Calibri"/>
                <w:sz w:val="22"/>
              </w:rPr>
              <w:t>Open Market Sale</w:t>
            </w:r>
          </w:p>
        </w:tc>
        <w:tc>
          <w:tcPr>
            <w:tcW w:type="dxa" w:w="1440"/>
          </w:tcPr>
          <w:p>
            <w:r>
              <w:rPr>
                <w:rFonts w:ascii="Calibri" w:hAnsi="Calibri"/>
                <w:sz w:val="22"/>
              </w:rPr>
              <w:t>4,816 shares</w:t>
            </w:r>
          </w:p>
        </w:tc>
        <w:tc>
          <w:tcPr>
            <w:tcW w:type="dxa" w:w="1440"/>
          </w:tcPr>
          <w:p>
            <w:r>
              <w:rPr>
                <w:rFonts w:ascii="Calibri" w:hAnsi="Calibri"/>
                <w:sz w:val="22"/>
              </w:rPr>
              <w:t>May 13, 2026</w:t>
            </w:r>
          </w:p>
        </w:tc>
        <w:tc>
          <w:tcPr>
            <w:tcW w:type="dxa" w:w="1440"/>
          </w:tcPr>
          <w:p>
            <w:r>
              <w:rPr>
                <w:rFonts w:ascii="Calibri" w:hAnsi="Calibri"/>
                <w:sz w:val="22"/>
              </w:rPr>
              <w:t>Discretionary; sold ~15% of holdings (27,398 shares remaining); no 10b5-1 plan indicated; Greater China President selling shortly after strong Q1 Greater China results (+6% RevPAR)</w:t>
            </w:r>
          </w:p>
        </w:tc>
      </w:tr>
    </w:tbl>
    <w:p>
      <w:r>
        <w:rPr>
          <w:rFonts w:ascii="Calibri" w:hAnsi="Calibri"/>
          <w:i/>
          <w:color w:val="525866"/>
          <w:sz w:val="22"/>
        </w:rPr>
        <w:t>Source: SEC Form 4 Filings (Insider Transaction Data). Filing dates: Roe — May 19, 2026; Mao — May 14, 2026.</w:t>
      </w:r>
    </w:p>
    <w:p>
      <w:r>
        <w:rPr>
          <w:rFonts w:ascii="Calibri" w:hAnsi="Calibri"/>
          <w:color w:val="525866"/>
          <w:sz w:val="22"/>
        </w:rPr>
        <w:t>Both transactions occurred in the week following the May 6 Q1 earnings release, which is a common window for executives to sell after a blackout period lifts. Neither sale is large enough relative to total holdings to signal a bearish view on the stock. No open-market purchases have been filed in the period, which is typical for a stock trading near all-time highs.</w:t>
      </w:r>
    </w:p>
    <w:p>
      <w:r>
        <w:br w:type="page"/>
      </w:r>
    </w:p>
    <w:p>
      <w:pPr>
        <w:pStyle w:val="Heading1"/>
        <w:pBdr>
          <w:bottom w:val="single" w:sz="4" w:space="1" w:color="FB9120"/>
        </w:pBdr>
      </w:pPr>
      <w:r>
        <w:rPr>
          <w:rFonts w:ascii="Calibri" w:hAnsi="Calibri"/>
          <w:b/>
          <w:color w:val="3B4259"/>
          <w:sz w:val="40"/>
        </w:rPr>
        <w:t>9. Key Risks &amp; Earnings Questions</w:t>
      </w:r>
    </w:p>
    <w:p>
      <w:r>
        <w:rPr>
          <w:rFonts w:ascii="Calibri" w:hAnsi="Calibri"/>
          <w:b/>
          <w:color w:val="525866"/>
          <w:sz w:val="22"/>
        </w:rPr>
        <w:t xml:space="preserve">Key Takeaway: </w:t>
      </w:r>
      <w:r>
        <w:rPr>
          <w:rFonts w:ascii="Calibri" w:hAnsi="Calibri"/>
          <w:color w:val="525866"/>
          <w:sz w:val="22"/>
        </w:rPr>
        <w:t>The primary risk to the Q2 print is whether Middle East RevPAR deteriorated more than the guided ~50% decline; the primary upside catalyst is any update on the credit card renewal timeline or economics.</w:t>
      </w:r>
    </w:p>
    <w:p>
      <w:pPr>
        <w:pStyle w:val="Heading2"/>
      </w:pPr>
      <w:r>
        <w:rPr>
          <w:rFonts w:ascii="Calibri" w:hAnsi="Calibri"/>
          <w:b/>
          <w:color w:val="3B4259"/>
          <w:sz w:val="28"/>
        </w:rPr>
        <w:t>Key Risks</w:t>
      </w:r>
    </w:p>
    <w:p>
      <w:pPr>
        <w:pStyle w:val="ListBullet"/>
        <w:ind w:left="360" w:hanging="360"/>
      </w:pPr>
      <w:r>
        <w:rPr>
          <w:rFonts w:ascii="Calibri" w:hAnsi="Calibri"/>
          <w:b/>
          <w:color w:val="525866"/>
          <w:sz w:val="22"/>
        </w:rPr>
        <w:t xml:space="preserve">Middle East RevPAR Worse Than Guided: </w:t>
      </w:r>
      <w:r>
        <w:rPr>
          <w:rFonts w:ascii="Calibri" w:hAnsi="Calibri"/>
          <w:color w:val="525866"/>
          <w:sz w:val="22"/>
        </w:rPr>
        <w:t>Management guided Q2 Middle East RevPAR down ~50%. April was down ~60%; May was described as “not down as much.” If June deteriorated again or the ripple effects on APAC (India, Maldives) were larger than modeled, Q2 international RevPAR could miss the 1.5%–2.5% global range.</w:t>
      </w:r>
    </w:p>
    <w:p>
      <w:pPr>
        <w:pStyle w:val="ListBullet"/>
        <w:ind w:left="360" w:hanging="360"/>
      </w:pPr>
      <w:r>
        <w:rPr>
          <w:rFonts w:ascii="Calibri" w:hAnsi="Calibri"/>
          <w:b/>
          <w:color w:val="525866"/>
          <w:sz w:val="22"/>
        </w:rPr>
        <w:t xml:space="preserve">Back-Half Consumer Deceleration: </w:t>
      </w:r>
      <w:r>
        <w:rPr>
          <w:rFonts w:ascii="Calibri" w:hAnsi="Calibri"/>
          <w:color w:val="525866"/>
          <w:sz w:val="22"/>
        </w:rPr>
        <w:t>Management has explicitly flagged that U.S. &amp; Canada RevPAR growth is expected to be slightly lower in H2 2026 vs. H1, citing potential drag from higher oil prices and inflation. If the consumer weakens faster than expected, the full-year 2%–3% RevPAR guidance could be at risk.</w:t>
      </w:r>
    </w:p>
    <w:p>
      <w:pPr>
        <w:pStyle w:val="ListBullet"/>
        <w:ind w:left="360" w:hanging="360"/>
      </w:pPr>
      <w:r>
        <w:rPr>
          <w:rFonts w:ascii="Calibri" w:hAnsi="Calibri"/>
          <w:b/>
          <w:color w:val="525866"/>
          <w:sz w:val="22"/>
        </w:rPr>
        <w:t xml:space="preserve">Credit Card Renewal Delay: </w:t>
      </w:r>
      <w:r>
        <w:rPr>
          <w:rFonts w:ascii="Calibri" w:hAnsi="Calibri"/>
          <w:color w:val="525866"/>
          <w:sz w:val="22"/>
        </w:rPr>
        <w:t>New Chase/Amex/Visa deals are expected “later in 2026” but are excluded from guidance. Any signal that deals are being delayed or that economics are less favorable than expected would be a negative catalyst.</w:t>
      </w:r>
    </w:p>
    <w:p>
      <w:pPr>
        <w:pStyle w:val="ListBullet"/>
        <w:ind w:left="360" w:hanging="360"/>
      </w:pPr>
      <w:r>
        <w:rPr>
          <w:rFonts w:ascii="Calibri" w:hAnsi="Calibri"/>
          <w:b/>
          <w:color w:val="525866"/>
          <w:sz w:val="22"/>
        </w:rPr>
        <w:t xml:space="preserve">Multiple Compression Risk: </w:t>
      </w:r>
      <w:r>
        <w:rPr>
          <w:rFonts w:ascii="Calibri" w:hAnsi="Calibri"/>
          <w:color w:val="525866"/>
          <w:sz w:val="22"/>
        </w:rPr>
        <w:t>MAR trades at NTM EV/EBITDA of ~18.7x, at the high end of its historical range. If the macro environment deteriorates or RevPAR guidance is cut, multiple compression could amplify the stock’s downside.</w:t>
      </w:r>
    </w:p>
    <w:p>
      <w:pPr>
        <w:pStyle w:val="ListBullet"/>
        <w:ind w:left="360" w:hanging="360"/>
      </w:pPr>
      <w:r>
        <w:rPr>
          <w:rFonts w:ascii="Calibri" w:hAnsi="Calibri"/>
          <w:b/>
          <w:color w:val="525866"/>
          <w:sz w:val="22"/>
        </w:rPr>
        <w:t xml:space="preserve">Government Travel Weakness: </w:t>
      </w:r>
      <w:r>
        <w:rPr>
          <w:rFonts w:ascii="Calibri" w:hAnsi="Calibri"/>
          <w:color w:val="525866"/>
          <w:sz w:val="22"/>
        </w:rPr>
        <w:t>Business transient RevPAR has been weighed down by mid-single-digit declines in government room nights. If DOGE-related government travel cuts accelerate, this could be a persistent headwind for U.S. full-service properties.</w:t>
      </w:r>
    </w:p>
    <w:p>
      <w:pPr>
        <w:pStyle w:val="ListBullet"/>
        <w:ind w:left="360" w:hanging="360"/>
      </w:pPr>
      <w:r>
        <w:rPr>
          <w:rFonts w:ascii="Calibri" w:hAnsi="Calibri"/>
          <w:b/>
          <w:color w:val="525866"/>
          <w:sz w:val="22"/>
        </w:rPr>
        <w:t xml:space="preserve">Lefay Investment Timing: </w:t>
      </w:r>
      <w:r>
        <w:rPr>
          <w:rFonts w:ascii="Calibri" w:hAnsi="Calibri"/>
          <w:color w:val="525866"/>
          <w:sz w:val="22"/>
        </w:rPr>
        <w:t>The planned investment in Lefay is assumed to occur later in 2026 and is included in investment spending guidance. Any acceleration or cost overrun could weigh on free cash flow.</w:t>
      </w:r>
    </w:p>
    <w:p>
      <w:pPr>
        <w:pStyle w:val="Heading2"/>
      </w:pPr>
      <w:r>
        <w:rPr>
          <w:rFonts w:ascii="Calibri" w:hAnsi="Calibri"/>
          <w:b/>
          <w:color w:val="3B4259"/>
          <w:sz w:val="28"/>
        </w:rPr>
        <w:t>Key Questions for the August 3 Earnings Call</w:t>
      </w:r>
    </w:p>
    <w:p>
      <w:pPr>
        <w:pStyle w:val="ListNumber"/>
        <w:ind w:left="360" w:hanging="360"/>
      </w:pPr>
      <w:r>
        <w:rPr>
          <w:rFonts w:ascii="Calibri" w:hAnsi="Calibri"/>
          <w:b/>
          <w:color w:val="525866"/>
          <w:sz w:val="22"/>
        </w:rPr>
        <w:t xml:space="preserve">Middle East Update: </w:t>
      </w:r>
      <w:r>
        <w:rPr>
          <w:rFonts w:ascii="Calibri" w:hAnsi="Calibri"/>
          <w:color w:val="525866"/>
          <w:sz w:val="22"/>
        </w:rPr>
        <w:t>How did Middle East RevPAR track in June vs. the Q2 guidance of ~−50%? Are there signs of recovery in July? Has the ripple effect on APAC (India, Maldives) stabilized?</w:t>
      </w:r>
    </w:p>
    <w:p>
      <w:pPr>
        <w:pStyle w:val="ListNumber"/>
        <w:ind w:left="360" w:hanging="360"/>
      </w:pPr>
      <w:r>
        <w:rPr>
          <w:rFonts w:ascii="Calibri" w:hAnsi="Calibri"/>
          <w:b/>
          <w:color w:val="525866"/>
          <w:sz w:val="22"/>
        </w:rPr>
        <w:t xml:space="preserve">Credit Card Renewal: </w:t>
      </w:r>
      <w:r>
        <w:rPr>
          <w:rFonts w:ascii="Calibri" w:hAnsi="Calibri"/>
          <w:color w:val="525866"/>
          <w:sz w:val="22"/>
        </w:rPr>
        <w:t>Can management provide any update on the timeline for new Chase/Amex/Visa deals? What is the expected financial impact once deals are signed and cards are relaunched?</w:t>
      </w:r>
    </w:p>
    <w:p>
      <w:pPr>
        <w:pStyle w:val="ListNumber"/>
        <w:ind w:left="360" w:hanging="360"/>
      </w:pPr>
      <w:r>
        <w:rPr>
          <w:rFonts w:ascii="Calibri" w:hAnsi="Calibri"/>
          <w:b/>
          <w:color w:val="525866"/>
          <w:sz w:val="22"/>
        </w:rPr>
        <w:t xml:space="preserve">World Cup Impact: </w:t>
      </w:r>
      <w:r>
        <w:rPr>
          <w:rFonts w:ascii="Calibri" w:hAnsi="Calibri"/>
          <w:color w:val="525866"/>
          <w:sz w:val="22"/>
        </w:rPr>
        <w:t>How did the World Cup contribute to Q2 RevPAR in U.S. markets? Was the impact in line with the 30–35 bps full-year estimate? How are Q3 World Cup markets (finals) pacing?</w:t>
      </w:r>
    </w:p>
    <w:p>
      <w:pPr>
        <w:pStyle w:val="ListNumber"/>
        <w:ind w:left="360" w:hanging="360"/>
      </w:pPr>
      <w:r>
        <w:rPr>
          <w:rFonts w:ascii="Calibri" w:hAnsi="Calibri"/>
          <w:b/>
          <w:color w:val="525866"/>
          <w:sz w:val="22"/>
        </w:rPr>
        <w:t xml:space="preserve">Back-Half Guidance: </w:t>
      </w:r>
      <w:r>
        <w:rPr>
          <w:rFonts w:ascii="Calibri" w:hAnsi="Calibri"/>
          <w:color w:val="525866"/>
          <w:sz w:val="22"/>
        </w:rPr>
        <w:t>Will management maintain the full-year 2%–3% RevPAR guidance? What are the key assumptions for H2 U.S. &amp; Canada RevPAR given the expected deceleration?</w:t>
      </w:r>
    </w:p>
    <w:p>
      <w:pPr>
        <w:pStyle w:val="ListNumber"/>
        <w:ind w:left="360" w:hanging="360"/>
      </w:pPr>
      <w:r>
        <w:rPr>
          <w:rFonts w:ascii="Calibri" w:hAnsi="Calibri"/>
          <w:b/>
          <w:color w:val="525866"/>
          <w:sz w:val="22"/>
        </w:rPr>
        <w:t xml:space="preserve">Select Service Momentum: </w:t>
      </w:r>
      <w:r>
        <w:rPr>
          <w:rFonts w:ascii="Calibri" w:hAnsi="Calibri"/>
          <w:color w:val="525866"/>
          <w:sz w:val="22"/>
        </w:rPr>
        <w:t>Did select service RevPAR growth continue in Q2 after the Q1 inflection to +3.5%? Is the domestic travel pivot and drive-to destination trend sustaining?</w:t>
      </w:r>
    </w:p>
    <w:p>
      <w:pPr>
        <w:pStyle w:val="ListNumber"/>
        <w:ind w:left="360" w:hanging="360"/>
      </w:pPr>
      <w:r>
        <w:rPr>
          <w:rFonts w:ascii="Calibri" w:hAnsi="Calibri"/>
          <w:b/>
          <w:color w:val="525866"/>
          <w:sz w:val="22"/>
        </w:rPr>
        <w:t xml:space="preserve">AI Distribution Rollout: </w:t>
      </w:r>
      <w:r>
        <w:rPr>
          <w:rFonts w:ascii="Calibri" w:hAnsi="Calibri"/>
          <w:color w:val="525866"/>
          <w:sz w:val="22"/>
        </w:rPr>
        <w:t>Was the natural language conversational search on marriott.com and the app launched by end of Q2 as planned? What early metrics (engagement, conversion) are being tracked?</w:t>
      </w:r>
    </w:p>
    <w:p>
      <w:pPr>
        <w:pStyle w:val="ListNumber"/>
        <w:ind w:left="360" w:hanging="360"/>
      </w:pPr>
      <w:r>
        <w:rPr>
          <w:rFonts w:ascii="Calibri" w:hAnsi="Calibri"/>
          <w:b/>
          <w:color w:val="525866"/>
          <w:sz w:val="22"/>
        </w:rPr>
        <w:t xml:space="preserve">Capital Returns: </w:t>
      </w:r>
      <w:r>
        <w:rPr>
          <w:rFonts w:ascii="Calibri" w:hAnsi="Calibri"/>
          <w:color w:val="525866"/>
          <w:sz w:val="22"/>
        </w:rPr>
        <w:t>Is the $4.4B+ capital return target for 2026 on track? What is the pace of share repurchases in Q2?</w:t>
      </w:r>
    </w:p>
    <w:p>
      <w:pPr>
        <w:pStyle w:val="ListNumber"/>
        <w:ind w:left="360" w:hanging="360"/>
      </w:pPr>
      <w:r>
        <w:rPr>
          <w:rFonts w:ascii="Calibri" w:hAnsi="Calibri"/>
          <w:b/>
          <w:color w:val="525866"/>
          <w:sz w:val="22"/>
        </w:rPr>
        <w:t xml:space="preserve">Lefay Investment: </w:t>
      </w:r>
      <w:r>
        <w:rPr>
          <w:rFonts w:ascii="Calibri" w:hAnsi="Calibri"/>
          <w:color w:val="525866"/>
          <w:sz w:val="22"/>
        </w:rPr>
        <w:t>Has the Lefay investment closed? What is the expected contribution to the portfolio and the financial impact on investment spending?</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Calibri" w:hAnsi="Calibri"/>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